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889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0"/>
        <w:gridCol w:w="1278"/>
        <w:gridCol w:w="5110"/>
        <w:gridCol w:w="1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2" w:hRule="atLeast"/>
        </w:trPr>
        <w:tc>
          <w:tcPr>
            <w:tcW w:w="1240" w:type="dxa"/>
            <w:tcBorders>
              <w:top w:val="single" w:color="auto" w:sz="4" w:space="0"/>
              <w:left w:val="single" w:color="auto" w:sz="4" w:space="0"/>
              <w:bottom w:val="single" w:color="auto" w:sz="4" w:space="0"/>
              <w:right w:val="single" w:color="auto" w:sz="4" w:space="0"/>
            </w:tcBorders>
            <w:noWrap w:val="0"/>
            <w:vAlign w:val="center"/>
          </w:tcPr>
          <w:p>
            <w:pPr>
              <w:autoSpaceDE w:val="0"/>
              <w:spacing w:line="360" w:lineRule="auto"/>
              <w:jc w:val="center"/>
              <w:rPr>
                <w:rFonts w:ascii="宋体" w:hAnsi="宋体"/>
                <w:b/>
                <w:bCs/>
                <w:kern w:val="0"/>
                <w:sz w:val="20"/>
                <w:szCs w:val="20"/>
              </w:rPr>
            </w:pPr>
            <w:r>
              <w:rPr>
                <w:rFonts w:hint="eastAsia" w:ascii="宋体" w:hAnsi="宋体"/>
                <w:b/>
                <w:bCs/>
                <w:kern w:val="0"/>
                <w:sz w:val="20"/>
                <w:szCs w:val="20"/>
              </w:rPr>
              <w:t>类别</w:t>
            </w:r>
          </w:p>
        </w:tc>
        <w:tc>
          <w:tcPr>
            <w:tcW w:w="1278" w:type="dxa"/>
            <w:tcBorders>
              <w:top w:val="single" w:color="auto" w:sz="4" w:space="0"/>
              <w:left w:val="nil"/>
              <w:bottom w:val="single" w:color="auto" w:sz="4" w:space="0"/>
              <w:right w:val="single" w:color="auto" w:sz="4" w:space="0"/>
            </w:tcBorders>
            <w:noWrap w:val="0"/>
            <w:vAlign w:val="center"/>
          </w:tcPr>
          <w:p>
            <w:pPr>
              <w:autoSpaceDE w:val="0"/>
              <w:spacing w:line="360" w:lineRule="auto"/>
              <w:jc w:val="center"/>
              <w:rPr>
                <w:rFonts w:ascii="宋体" w:hAnsi="宋体"/>
                <w:b/>
                <w:bCs/>
                <w:kern w:val="0"/>
                <w:sz w:val="20"/>
                <w:szCs w:val="20"/>
              </w:rPr>
            </w:pPr>
            <w:r>
              <w:rPr>
                <w:rFonts w:hint="eastAsia" w:ascii="宋体" w:hAnsi="宋体"/>
                <w:b/>
                <w:bCs/>
                <w:kern w:val="0"/>
                <w:sz w:val="20"/>
                <w:szCs w:val="20"/>
              </w:rPr>
              <w:t>评分内容</w:t>
            </w:r>
          </w:p>
        </w:tc>
        <w:tc>
          <w:tcPr>
            <w:tcW w:w="5110" w:type="dxa"/>
            <w:tcBorders>
              <w:top w:val="single" w:color="auto" w:sz="4" w:space="0"/>
              <w:left w:val="nil"/>
              <w:bottom w:val="single" w:color="auto" w:sz="4" w:space="0"/>
              <w:right w:val="single" w:color="auto" w:sz="4" w:space="0"/>
            </w:tcBorders>
            <w:noWrap w:val="0"/>
            <w:vAlign w:val="center"/>
          </w:tcPr>
          <w:p>
            <w:pPr>
              <w:autoSpaceDE w:val="0"/>
              <w:spacing w:line="360" w:lineRule="auto"/>
              <w:jc w:val="center"/>
              <w:rPr>
                <w:rFonts w:ascii="宋体" w:hAnsi="宋体"/>
                <w:b/>
                <w:bCs/>
                <w:kern w:val="0"/>
                <w:sz w:val="20"/>
                <w:szCs w:val="20"/>
              </w:rPr>
            </w:pPr>
            <w:r>
              <w:rPr>
                <w:rFonts w:hint="eastAsia" w:ascii="宋体" w:hAnsi="宋体"/>
                <w:b/>
                <w:bCs/>
                <w:kern w:val="0"/>
                <w:sz w:val="20"/>
                <w:szCs w:val="20"/>
              </w:rPr>
              <w:t>评分标准</w:t>
            </w:r>
          </w:p>
        </w:tc>
        <w:tc>
          <w:tcPr>
            <w:tcW w:w="1269" w:type="dxa"/>
            <w:tcBorders>
              <w:top w:val="single" w:color="auto" w:sz="4" w:space="0"/>
              <w:left w:val="nil"/>
              <w:bottom w:val="single" w:color="auto" w:sz="4" w:space="0"/>
              <w:right w:val="single" w:color="auto" w:sz="4" w:space="0"/>
            </w:tcBorders>
            <w:noWrap w:val="0"/>
            <w:vAlign w:val="center"/>
          </w:tcPr>
          <w:p>
            <w:pPr>
              <w:autoSpaceDE w:val="0"/>
              <w:spacing w:line="360" w:lineRule="auto"/>
              <w:jc w:val="center"/>
              <w:rPr>
                <w:rFonts w:ascii="宋体" w:hAnsi="宋体"/>
                <w:b/>
                <w:bCs/>
                <w:kern w:val="0"/>
                <w:sz w:val="20"/>
                <w:szCs w:val="20"/>
              </w:rPr>
            </w:pPr>
            <w:r>
              <w:rPr>
                <w:rFonts w:hint="eastAsia" w:ascii="宋体" w:hAnsi="宋体"/>
                <w:b/>
                <w:bCs/>
                <w:kern w:val="0"/>
                <w:sz w:val="20"/>
                <w:szCs w:val="20"/>
              </w:rPr>
              <w:t>分值范围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40" w:type="dxa"/>
            <w:vMerge w:val="restart"/>
            <w:tcBorders>
              <w:top w:val="nil"/>
              <w:left w:val="single" w:color="auto" w:sz="4" w:space="0"/>
              <w:bottom w:val="single" w:color="auto" w:sz="4" w:space="0"/>
              <w:right w:val="single" w:color="auto" w:sz="4" w:space="0"/>
            </w:tcBorders>
            <w:noWrap w:val="0"/>
            <w:vAlign w:val="center"/>
          </w:tcPr>
          <w:p>
            <w:pPr>
              <w:autoSpaceDE w:val="0"/>
              <w:spacing w:line="360" w:lineRule="auto"/>
              <w:jc w:val="center"/>
              <w:rPr>
                <w:rFonts w:ascii="宋体" w:hAnsi="宋体"/>
                <w:kern w:val="0"/>
                <w:sz w:val="20"/>
                <w:szCs w:val="20"/>
              </w:rPr>
            </w:pPr>
            <w:r>
              <w:rPr>
                <w:rFonts w:hint="eastAsia" w:ascii="宋体" w:hAnsi="宋体"/>
                <w:kern w:val="0"/>
                <w:sz w:val="20"/>
                <w:szCs w:val="20"/>
              </w:rPr>
              <w:t>技术与资信分</w:t>
            </w:r>
          </w:p>
          <w:p>
            <w:pPr>
              <w:autoSpaceDE w:val="0"/>
              <w:spacing w:line="360" w:lineRule="auto"/>
              <w:jc w:val="center"/>
              <w:rPr>
                <w:rFonts w:ascii="宋体" w:hAnsi="宋体"/>
                <w:b/>
                <w:bCs/>
                <w:kern w:val="0"/>
                <w:sz w:val="20"/>
                <w:szCs w:val="20"/>
              </w:rPr>
            </w:pPr>
            <w:r>
              <w:rPr>
                <w:rFonts w:hint="eastAsia" w:ascii="宋体" w:hAnsi="宋体"/>
                <w:kern w:val="0"/>
                <w:sz w:val="20"/>
                <w:szCs w:val="20"/>
              </w:rPr>
              <w:t>（</w:t>
            </w:r>
            <w:r>
              <w:rPr>
                <w:rFonts w:hint="eastAsia" w:ascii="宋体" w:hAnsi="宋体"/>
                <w:kern w:val="0"/>
                <w:sz w:val="20"/>
                <w:szCs w:val="20"/>
                <w:u w:val="single"/>
              </w:rPr>
              <w:t>60</w:t>
            </w:r>
            <w:r>
              <w:rPr>
                <w:rFonts w:hint="eastAsia" w:ascii="宋体" w:hAnsi="宋体"/>
                <w:kern w:val="0"/>
                <w:sz w:val="20"/>
                <w:szCs w:val="20"/>
              </w:rPr>
              <w:t>分）</w:t>
            </w:r>
          </w:p>
        </w:tc>
        <w:tc>
          <w:tcPr>
            <w:tcW w:w="1278" w:type="dxa"/>
            <w:tcBorders>
              <w:top w:val="single" w:color="auto" w:sz="4" w:space="0"/>
              <w:left w:val="nil"/>
              <w:bottom w:val="single" w:color="auto" w:sz="4" w:space="0"/>
              <w:right w:val="single" w:color="auto" w:sz="4" w:space="0"/>
            </w:tcBorders>
            <w:noWrap w:val="0"/>
            <w:vAlign w:val="center"/>
          </w:tcPr>
          <w:p>
            <w:pPr>
              <w:autoSpaceDE w:val="0"/>
              <w:spacing w:line="360" w:lineRule="auto"/>
              <w:jc w:val="center"/>
              <w:rPr>
                <w:rFonts w:ascii="宋体" w:hAnsi="宋体"/>
                <w:kern w:val="0"/>
                <w:sz w:val="20"/>
                <w:szCs w:val="20"/>
              </w:rPr>
            </w:pPr>
            <w:r>
              <w:rPr>
                <w:rFonts w:hint="eastAsia" w:ascii="宋体" w:hAnsi="宋体"/>
                <w:kern w:val="0"/>
                <w:sz w:val="20"/>
                <w:szCs w:val="20"/>
              </w:rPr>
              <w:t>技术参数及要求</w:t>
            </w:r>
          </w:p>
        </w:tc>
        <w:tc>
          <w:tcPr>
            <w:tcW w:w="5110" w:type="dxa"/>
            <w:tcBorders>
              <w:top w:val="single" w:color="auto" w:sz="4" w:space="0"/>
              <w:left w:val="nil"/>
              <w:bottom w:val="single" w:color="auto" w:sz="4" w:space="0"/>
              <w:right w:val="single" w:color="auto" w:sz="4" w:space="0"/>
            </w:tcBorders>
            <w:noWrap w:val="0"/>
            <w:vAlign w:val="center"/>
          </w:tcPr>
          <w:p>
            <w:pPr>
              <w:autoSpaceDE w:val="0"/>
              <w:spacing w:line="360" w:lineRule="auto"/>
              <w:rPr>
                <w:rFonts w:ascii="宋体" w:hAnsi="宋体"/>
                <w:kern w:val="0"/>
                <w:sz w:val="20"/>
                <w:szCs w:val="20"/>
              </w:rPr>
            </w:pPr>
            <w:r>
              <w:rPr>
                <w:rFonts w:hint="eastAsia" w:ascii="宋体" w:hAnsi="宋体"/>
                <w:kern w:val="0"/>
                <w:sz w:val="20"/>
                <w:szCs w:val="20"/>
              </w:rPr>
              <w:t>1、完全满足或优于招标文件技术参数及要求的得满分</w:t>
            </w:r>
            <w:r>
              <w:rPr>
                <w:rFonts w:ascii="宋体" w:hAnsi="宋体"/>
                <w:kern w:val="0"/>
                <w:sz w:val="20"/>
                <w:szCs w:val="20"/>
              </w:rPr>
              <w:t>4</w:t>
            </w:r>
            <w:r>
              <w:rPr>
                <w:rFonts w:hint="eastAsia" w:ascii="宋体" w:hAnsi="宋体"/>
                <w:kern w:val="0"/>
                <w:sz w:val="20"/>
                <w:szCs w:val="20"/>
              </w:rPr>
              <w:t>0分；</w:t>
            </w:r>
          </w:p>
          <w:p>
            <w:pPr>
              <w:autoSpaceDE w:val="0"/>
              <w:spacing w:line="360" w:lineRule="auto"/>
              <w:rPr>
                <w:rFonts w:ascii="宋体" w:hAnsi="宋体"/>
                <w:kern w:val="0"/>
                <w:sz w:val="20"/>
                <w:szCs w:val="20"/>
              </w:rPr>
            </w:pPr>
            <w:r>
              <w:rPr>
                <w:rFonts w:hint="eastAsia" w:ascii="宋体" w:hAnsi="宋体"/>
                <w:kern w:val="0"/>
                <w:sz w:val="20"/>
                <w:szCs w:val="20"/>
              </w:rPr>
              <w:t>2、技术参数及要求中标★号项，每一项不满足（负偏离）扣 5分，扣完</w:t>
            </w:r>
            <w:r>
              <w:rPr>
                <w:rFonts w:ascii="宋体" w:hAnsi="宋体"/>
                <w:kern w:val="0"/>
                <w:sz w:val="20"/>
                <w:szCs w:val="20"/>
              </w:rPr>
              <w:t>4</w:t>
            </w:r>
            <w:r>
              <w:rPr>
                <w:rFonts w:hint="eastAsia" w:ascii="宋体" w:hAnsi="宋体"/>
                <w:kern w:val="0"/>
                <w:sz w:val="20"/>
                <w:szCs w:val="20"/>
              </w:rPr>
              <w:t>0分为止；</w:t>
            </w:r>
          </w:p>
          <w:p>
            <w:pPr>
              <w:autoSpaceDE w:val="0"/>
              <w:spacing w:line="360" w:lineRule="auto"/>
              <w:rPr>
                <w:rFonts w:ascii="宋体" w:hAnsi="宋体"/>
                <w:kern w:val="0"/>
                <w:sz w:val="20"/>
                <w:szCs w:val="20"/>
              </w:rPr>
            </w:pPr>
            <w:r>
              <w:rPr>
                <w:rFonts w:hint="eastAsia" w:ascii="宋体" w:hAnsi="宋体"/>
                <w:kern w:val="0"/>
                <w:sz w:val="20"/>
                <w:szCs w:val="20"/>
              </w:rPr>
              <w:t>3、技术参数及要求中未标★号项，每一项不满足（负偏离）扣 2 分，扣完</w:t>
            </w:r>
            <w:r>
              <w:rPr>
                <w:rFonts w:ascii="宋体" w:hAnsi="宋体"/>
                <w:kern w:val="0"/>
                <w:sz w:val="20"/>
                <w:szCs w:val="20"/>
              </w:rPr>
              <w:t>4</w:t>
            </w:r>
            <w:r>
              <w:rPr>
                <w:rFonts w:hint="eastAsia" w:ascii="宋体" w:hAnsi="宋体"/>
                <w:kern w:val="0"/>
                <w:sz w:val="20"/>
                <w:szCs w:val="20"/>
              </w:rPr>
              <w:t>0分为止；</w:t>
            </w:r>
          </w:p>
          <w:p>
            <w:pPr>
              <w:autoSpaceDE w:val="0"/>
              <w:spacing w:line="360" w:lineRule="auto"/>
              <w:rPr>
                <w:rFonts w:ascii="宋体" w:hAnsi="宋体"/>
                <w:kern w:val="0"/>
                <w:sz w:val="20"/>
                <w:szCs w:val="20"/>
              </w:rPr>
            </w:pPr>
            <w:r>
              <w:rPr>
                <w:rFonts w:hint="eastAsia" w:ascii="宋体" w:hAnsi="宋体"/>
                <w:kern w:val="0"/>
                <w:sz w:val="20"/>
                <w:szCs w:val="20"/>
              </w:rPr>
              <w:t>注：以投标响应表及采购需求中要求提供的证明材料作为评审依据，响应招标文件技术参数及要求的，但所提供的有效证明文件，内容不完全满足要求的，视为不满足（负偏离）此条款。</w:t>
            </w:r>
          </w:p>
        </w:tc>
        <w:tc>
          <w:tcPr>
            <w:tcW w:w="1269" w:type="dxa"/>
            <w:tcBorders>
              <w:top w:val="single" w:color="auto" w:sz="4" w:space="0"/>
              <w:left w:val="nil"/>
              <w:bottom w:val="single" w:color="auto" w:sz="4" w:space="0"/>
              <w:right w:val="single" w:color="auto" w:sz="4" w:space="0"/>
            </w:tcBorders>
            <w:noWrap w:val="0"/>
            <w:vAlign w:val="center"/>
          </w:tcPr>
          <w:p>
            <w:pPr>
              <w:autoSpaceDE w:val="0"/>
              <w:spacing w:line="360" w:lineRule="auto"/>
              <w:jc w:val="center"/>
              <w:rPr>
                <w:rFonts w:ascii="宋体" w:hAnsi="宋体"/>
                <w:kern w:val="0"/>
                <w:sz w:val="20"/>
                <w:szCs w:val="20"/>
              </w:rPr>
            </w:pPr>
            <w:r>
              <w:rPr>
                <w:rFonts w:hint="eastAsia" w:ascii="宋体" w:hAnsi="宋体"/>
                <w:kern w:val="0"/>
                <w:sz w:val="20"/>
                <w:szCs w:val="20"/>
              </w:rPr>
              <w:t>0-</w:t>
            </w:r>
            <w:r>
              <w:rPr>
                <w:rFonts w:ascii="宋体" w:hAnsi="宋体"/>
                <w:kern w:val="0"/>
                <w:sz w:val="20"/>
                <w:szCs w:val="20"/>
              </w:rPr>
              <w:t>4</w:t>
            </w:r>
            <w:r>
              <w:rPr>
                <w:rFonts w:hint="eastAsia" w:ascii="宋体" w:hAnsi="宋体"/>
                <w:kern w:val="0"/>
                <w:sz w:val="20"/>
                <w:szCs w:val="20"/>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40" w:type="dxa"/>
            <w:vMerge w:val="continue"/>
            <w:tcBorders>
              <w:top w:val="nil"/>
              <w:left w:val="single" w:color="auto" w:sz="4" w:space="0"/>
              <w:bottom w:val="single" w:color="auto" w:sz="4" w:space="0"/>
              <w:right w:val="single" w:color="auto" w:sz="4" w:space="0"/>
            </w:tcBorders>
            <w:noWrap w:val="0"/>
            <w:vAlign w:val="center"/>
          </w:tcPr>
          <w:p>
            <w:pPr>
              <w:widowControl/>
              <w:autoSpaceDE w:val="0"/>
              <w:jc w:val="left"/>
              <w:rPr>
                <w:rFonts w:ascii="宋体" w:hAnsi="宋体"/>
                <w:b/>
                <w:bCs/>
                <w:kern w:val="0"/>
                <w:sz w:val="20"/>
                <w:szCs w:val="20"/>
              </w:rPr>
            </w:pPr>
          </w:p>
        </w:tc>
        <w:tc>
          <w:tcPr>
            <w:tcW w:w="1278" w:type="dxa"/>
            <w:tcBorders>
              <w:top w:val="single" w:color="auto" w:sz="4" w:space="0"/>
              <w:left w:val="nil"/>
              <w:bottom w:val="single" w:color="auto" w:sz="4" w:space="0"/>
              <w:right w:val="single" w:color="auto" w:sz="4" w:space="0"/>
            </w:tcBorders>
            <w:noWrap w:val="0"/>
            <w:vAlign w:val="center"/>
          </w:tcPr>
          <w:p>
            <w:pPr>
              <w:widowControl/>
              <w:autoSpaceDE w:val="0"/>
              <w:spacing w:line="360" w:lineRule="auto"/>
              <w:jc w:val="center"/>
              <w:rPr>
                <w:rFonts w:ascii="宋体" w:hAnsi="宋体"/>
                <w:kern w:val="0"/>
                <w:sz w:val="20"/>
                <w:szCs w:val="20"/>
              </w:rPr>
            </w:pPr>
            <w:r>
              <w:rPr>
                <w:rFonts w:hint="eastAsia" w:ascii="宋体" w:hAnsi="宋体"/>
                <w:kern w:val="0"/>
                <w:sz w:val="20"/>
                <w:szCs w:val="20"/>
              </w:rPr>
              <w:t>售后与培训方案</w:t>
            </w:r>
          </w:p>
        </w:tc>
        <w:tc>
          <w:tcPr>
            <w:tcW w:w="5110" w:type="dxa"/>
            <w:tcBorders>
              <w:top w:val="single" w:color="auto" w:sz="4" w:space="0"/>
              <w:left w:val="nil"/>
              <w:bottom w:val="single" w:color="auto" w:sz="4" w:space="0"/>
              <w:right w:val="single" w:color="auto" w:sz="4" w:space="0"/>
            </w:tcBorders>
            <w:noWrap w:val="0"/>
            <w:vAlign w:val="center"/>
          </w:tcPr>
          <w:p>
            <w:pPr>
              <w:autoSpaceDE w:val="0"/>
              <w:spacing w:line="360" w:lineRule="auto"/>
              <w:rPr>
                <w:rFonts w:ascii="宋体" w:hAnsi="宋体"/>
                <w:kern w:val="0"/>
                <w:sz w:val="20"/>
                <w:szCs w:val="20"/>
              </w:rPr>
            </w:pPr>
            <w:r>
              <w:rPr>
                <w:rFonts w:hint="eastAsia" w:ascii="宋体" w:hAnsi="宋体"/>
                <w:kern w:val="0"/>
                <w:sz w:val="20"/>
                <w:szCs w:val="20"/>
              </w:rPr>
              <w:t>（1）具有完善的售后服务措施，且有切实可行的售后服务计划以及服务承诺等。</w:t>
            </w:r>
          </w:p>
          <w:p>
            <w:pPr>
              <w:autoSpaceDE w:val="0"/>
              <w:spacing w:line="360" w:lineRule="auto"/>
              <w:rPr>
                <w:rFonts w:ascii="宋体" w:hAnsi="宋体"/>
                <w:kern w:val="0"/>
                <w:sz w:val="20"/>
                <w:szCs w:val="20"/>
              </w:rPr>
            </w:pPr>
            <w:r>
              <w:rPr>
                <w:rFonts w:hint="eastAsia" w:ascii="宋体" w:hAnsi="宋体"/>
                <w:kern w:val="0"/>
                <w:sz w:val="20"/>
                <w:szCs w:val="20"/>
              </w:rPr>
              <w:t>（2）能够保证本地化服务，有切实的本地化服务措施，提供本地化技术支持，且能够实现2小时现场响应服务。</w:t>
            </w:r>
          </w:p>
          <w:p>
            <w:pPr>
              <w:autoSpaceDE w:val="0"/>
              <w:spacing w:line="360" w:lineRule="auto"/>
              <w:rPr>
                <w:rFonts w:ascii="宋体" w:hAnsi="宋体"/>
                <w:kern w:val="0"/>
                <w:sz w:val="20"/>
                <w:szCs w:val="20"/>
              </w:rPr>
            </w:pPr>
            <w:r>
              <w:rPr>
                <w:rFonts w:hint="eastAsia" w:ascii="宋体" w:hAnsi="宋体"/>
                <w:kern w:val="0"/>
                <w:sz w:val="20"/>
                <w:szCs w:val="20"/>
              </w:rPr>
              <w:t>（3）具有完善的培训方案，并可协助用户方做好师资队伍培训工作。</w:t>
            </w:r>
          </w:p>
          <w:p>
            <w:pPr>
              <w:widowControl/>
              <w:autoSpaceDE w:val="0"/>
              <w:spacing w:line="360" w:lineRule="auto"/>
              <w:rPr>
                <w:rFonts w:ascii="宋体" w:hAnsi="宋体"/>
                <w:kern w:val="0"/>
                <w:sz w:val="20"/>
                <w:szCs w:val="20"/>
              </w:rPr>
            </w:pPr>
            <w:r>
              <w:rPr>
                <w:rFonts w:hint="eastAsia" w:ascii="宋体" w:hAnsi="宋体"/>
                <w:kern w:val="0"/>
                <w:sz w:val="20"/>
                <w:szCs w:val="20"/>
              </w:rPr>
              <w:t>由评委会按照2-5分综合评分，未提供的不得分。</w:t>
            </w:r>
          </w:p>
        </w:tc>
        <w:tc>
          <w:tcPr>
            <w:tcW w:w="1269" w:type="dxa"/>
            <w:tcBorders>
              <w:top w:val="single" w:color="auto" w:sz="4" w:space="0"/>
              <w:left w:val="nil"/>
              <w:bottom w:val="single" w:color="auto" w:sz="4" w:space="0"/>
              <w:right w:val="single" w:color="auto" w:sz="4" w:space="0"/>
            </w:tcBorders>
            <w:noWrap w:val="0"/>
            <w:vAlign w:val="center"/>
          </w:tcPr>
          <w:p>
            <w:pPr>
              <w:autoSpaceDE w:val="0"/>
              <w:spacing w:line="360" w:lineRule="auto"/>
              <w:jc w:val="center"/>
              <w:rPr>
                <w:rFonts w:ascii="宋体" w:hAnsi="宋体"/>
                <w:b/>
                <w:bCs/>
                <w:kern w:val="0"/>
                <w:sz w:val="20"/>
                <w:szCs w:val="20"/>
              </w:rPr>
            </w:pPr>
            <w:r>
              <w:rPr>
                <w:rFonts w:hint="eastAsia" w:ascii="宋体" w:hAnsi="宋体"/>
                <w:kern w:val="0"/>
                <w:sz w:val="20"/>
                <w:szCs w:val="20"/>
              </w:rPr>
              <w:t>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40" w:type="dxa"/>
            <w:vMerge w:val="continue"/>
            <w:tcBorders>
              <w:top w:val="nil"/>
              <w:left w:val="single" w:color="auto" w:sz="4" w:space="0"/>
              <w:bottom w:val="single" w:color="auto" w:sz="4" w:space="0"/>
              <w:right w:val="single" w:color="auto" w:sz="4" w:space="0"/>
            </w:tcBorders>
            <w:noWrap w:val="0"/>
            <w:vAlign w:val="center"/>
          </w:tcPr>
          <w:p>
            <w:pPr>
              <w:widowControl/>
              <w:autoSpaceDE w:val="0"/>
              <w:jc w:val="left"/>
              <w:rPr>
                <w:rFonts w:ascii="宋体" w:hAnsi="宋体"/>
                <w:b/>
                <w:bCs/>
                <w:kern w:val="0"/>
                <w:sz w:val="20"/>
                <w:szCs w:val="20"/>
              </w:rPr>
            </w:pPr>
          </w:p>
        </w:tc>
        <w:tc>
          <w:tcPr>
            <w:tcW w:w="1278" w:type="dxa"/>
            <w:tcBorders>
              <w:top w:val="single" w:color="auto" w:sz="4" w:space="0"/>
              <w:left w:val="nil"/>
              <w:bottom w:val="single" w:color="auto" w:sz="4" w:space="0"/>
              <w:right w:val="single" w:color="auto" w:sz="4" w:space="0"/>
            </w:tcBorders>
            <w:noWrap w:val="0"/>
            <w:vAlign w:val="center"/>
          </w:tcPr>
          <w:p>
            <w:pPr>
              <w:widowControl/>
              <w:autoSpaceDE w:val="0"/>
              <w:spacing w:line="360" w:lineRule="auto"/>
              <w:jc w:val="center"/>
              <w:rPr>
                <w:rFonts w:ascii="宋体" w:hAnsi="宋体"/>
                <w:kern w:val="0"/>
                <w:sz w:val="20"/>
                <w:szCs w:val="20"/>
              </w:rPr>
            </w:pPr>
            <w:r>
              <w:rPr>
                <w:rFonts w:hint="eastAsia" w:ascii="宋体" w:hAnsi="宋体"/>
                <w:kern w:val="0"/>
                <w:sz w:val="20"/>
                <w:szCs w:val="20"/>
              </w:rPr>
              <w:t>投标供应商业绩</w:t>
            </w:r>
          </w:p>
        </w:tc>
        <w:tc>
          <w:tcPr>
            <w:tcW w:w="5110" w:type="dxa"/>
            <w:tcBorders>
              <w:top w:val="single" w:color="auto" w:sz="4" w:space="0"/>
              <w:left w:val="nil"/>
              <w:bottom w:val="single" w:color="auto" w:sz="4" w:space="0"/>
              <w:right w:val="single" w:color="auto" w:sz="4" w:space="0"/>
            </w:tcBorders>
            <w:noWrap w:val="0"/>
            <w:vAlign w:val="center"/>
          </w:tcPr>
          <w:p>
            <w:pPr>
              <w:widowControl/>
              <w:autoSpaceDE w:val="0"/>
              <w:spacing w:line="360" w:lineRule="auto"/>
              <w:rPr>
                <w:rFonts w:hint="eastAsia" w:ascii="宋体" w:hAnsi="宋体"/>
                <w:kern w:val="0"/>
                <w:sz w:val="20"/>
                <w:szCs w:val="20"/>
                <w:lang w:val="en-US" w:eastAsia="zh-CN"/>
              </w:rPr>
            </w:pPr>
            <w:r>
              <w:rPr>
                <w:rFonts w:hint="eastAsia" w:ascii="宋体" w:hAnsi="宋体"/>
                <w:kern w:val="0"/>
                <w:sz w:val="20"/>
                <w:szCs w:val="20"/>
              </w:rPr>
              <w:t>自2015年1月1日以来（以合同签订时间为准）</w:t>
            </w:r>
            <w:r>
              <w:rPr>
                <w:rFonts w:hint="eastAsia" w:ascii="宋体" w:hAnsi="宋体"/>
                <w:kern w:val="0"/>
                <w:sz w:val="20"/>
                <w:szCs w:val="20"/>
                <w:lang w:eastAsia="zh-CN"/>
              </w:rPr>
              <w:t>，</w:t>
            </w:r>
            <w:r>
              <w:rPr>
                <w:rFonts w:hint="eastAsia" w:ascii="宋体" w:hAnsi="宋体"/>
                <w:kern w:val="0"/>
                <w:sz w:val="20"/>
                <w:szCs w:val="20"/>
                <w:lang w:val="en-US" w:eastAsia="zh-CN"/>
              </w:rPr>
              <w:t>有省内高校</w:t>
            </w:r>
            <w:bookmarkStart w:id="0" w:name="_GoBack"/>
            <w:bookmarkEnd w:id="0"/>
            <w:r>
              <w:rPr>
                <w:rFonts w:hint="eastAsia" w:ascii="宋体" w:hAnsi="宋体"/>
                <w:kern w:val="0"/>
                <w:sz w:val="20"/>
                <w:szCs w:val="20"/>
                <w:lang w:val="en-US" w:eastAsia="zh-CN"/>
              </w:rPr>
              <w:t>同类产品销售合同的，每多一个案例得1分，满分2分。</w:t>
            </w:r>
          </w:p>
          <w:p>
            <w:pPr>
              <w:widowControl/>
              <w:autoSpaceDE w:val="0"/>
              <w:spacing w:line="360" w:lineRule="auto"/>
              <w:rPr>
                <w:rFonts w:ascii="宋体" w:hAnsi="宋体"/>
                <w:kern w:val="0"/>
                <w:sz w:val="20"/>
                <w:szCs w:val="20"/>
              </w:rPr>
            </w:pPr>
            <w:r>
              <w:rPr>
                <w:rFonts w:hint="eastAsia" w:ascii="宋体" w:hAnsi="宋体"/>
                <w:kern w:val="0"/>
                <w:sz w:val="20"/>
                <w:szCs w:val="20"/>
              </w:rPr>
              <w:t>注：投标文件中须提供业绩合同扫描件或影印件，如合同中无法体现相应的项目内容、签订时间等，须另附业主证明扫描件或影印件。</w:t>
            </w:r>
          </w:p>
        </w:tc>
        <w:tc>
          <w:tcPr>
            <w:tcW w:w="1269" w:type="dxa"/>
            <w:tcBorders>
              <w:top w:val="single" w:color="auto" w:sz="4" w:space="0"/>
              <w:left w:val="nil"/>
              <w:bottom w:val="single" w:color="auto" w:sz="4" w:space="0"/>
              <w:right w:val="single" w:color="auto" w:sz="4" w:space="0"/>
            </w:tcBorders>
            <w:noWrap w:val="0"/>
            <w:vAlign w:val="center"/>
          </w:tcPr>
          <w:p>
            <w:pPr>
              <w:autoSpaceDE w:val="0"/>
              <w:spacing w:line="360" w:lineRule="auto"/>
              <w:jc w:val="center"/>
              <w:rPr>
                <w:rFonts w:ascii="宋体" w:hAnsi="宋体"/>
                <w:kern w:val="0"/>
                <w:sz w:val="20"/>
                <w:szCs w:val="20"/>
              </w:rPr>
            </w:pPr>
            <w:r>
              <w:rPr>
                <w:rFonts w:hint="eastAsia" w:ascii="宋体" w:hAnsi="宋体"/>
                <w:kern w:val="0"/>
                <w:sz w:val="20"/>
                <w:szCs w:val="20"/>
              </w:rPr>
              <w:t>0-</w:t>
            </w:r>
            <w:r>
              <w:rPr>
                <w:rFonts w:ascii="宋体" w:hAnsi="宋体"/>
                <w:kern w:val="0"/>
                <w:sz w:val="20"/>
                <w:szCs w:val="20"/>
              </w:rPr>
              <w:t>2</w:t>
            </w:r>
            <w:r>
              <w:rPr>
                <w:rFonts w:hint="eastAsia" w:ascii="宋体" w:hAnsi="宋体"/>
                <w:kern w:val="0"/>
                <w:sz w:val="20"/>
                <w:szCs w:val="20"/>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40" w:type="dxa"/>
            <w:vMerge w:val="continue"/>
            <w:tcBorders>
              <w:top w:val="nil"/>
              <w:left w:val="single" w:color="auto" w:sz="4" w:space="0"/>
              <w:bottom w:val="single" w:color="auto" w:sz="4" w:space="0"/>
              <w:right w:val="single" w:color="auto" w:sz="4" w:space="0"/>
            </w:tcBorders>
            <w:noWrap w:val="0"/>
            <w:vAlign w:val="center"/>
          </w:tcPr>
          <w:p>
            <w:pPr>
              <w:widowControl/>
              <w:autoSpaceDE w:val="0"/>
              <w:jc w:val="left"/>
              <w:rPr>
                <w:rFonts w:ascii="宋体" w:hAnsi="宋体"/>
                <w:b/>
                <w:bCs/>
                <w:kern w:val="0"/>
                <w:sz w:val="20"/>
                <w:szCs w:val="20"/>
              </w:rPr>
            </w:pPr>
          </w:p>
        </w:tc>
        <w:tc>
          <w:tcPr>
            <w:tcW w:w="1278" w:type="dxa"/>
            <w:vMerge w:val="restart"/>
            <w:tcBorders>
              <w:top w:val="nil"/>
              <w:left w:val="nil"/>
              <w:right w:val="single" w:color="auto" w:sz="4" w:space="0"/>
            </w:tcBorders>
            <w:noWrap w:val="0"/>
            <w:vAlign w:val="center"/>
          </w:tcPr>
          <w:p>
            <w:pPr>
              <w:widowControl/>
              <w:autoSpaceDE w:val="0"/>
              <w:spacing w:line="360" w:lineRule="auto"/>
              <w:jc w:val="center"/>
              <w:rPr>
                <w:rFonts w:ascii="宋体" w:hAnsi="宋体"/>
                <w:kern w:val="0"/>
                <w:sz w:val="20"/>
                <w:szCs w:val="20"/>
              </w:rPr>
            </w:pPr>
            <w:r>
              <w:rPr>
                <w:rFonts w:hint="eastAsia" w:ascii="宋体" w:hAnsi="宋体"/>
                <w:kern w:val="0"/>
                <w:sz w:val="20"/>
                <w:szCs w:val="20"/>
              </w:rPr>
              <w:t>产品赛事与培训服务</w:t>
            </w:r>
          </w:p>
        </w:tc>
        <w:tc>
          <w:tcPr>
            <w:tcW w:w="5110" w:type="dxa"/>
            <w:tcBorders>
              <w:top w:val="single" w:color="auto" w:sz="4" w:space="0"/>
              <w:left w:val="nil"/>
              <w:bottom w:val="single" w:color="auto" w:sz="4" w:space="0"/>
              <w:right w:val="single" w:color="auto" w:sz="4" w:space="0"/>
            </w:tcBorders>
            <w:noWrap w:val="0"/>
            <w:vAlign w:val="center"/>
          </w:tcPr>
          <w:p>
            <w:pPr>
              <w:widowControl/>
              <w:autoSpaceDE w:val="0"/>
              <w:spacing w:line="360" w:lineRule="auto"/>
              <w:rPr>
                <w:rFonts w:hint="eastAsia" w:ascii="宋体" w:hAnsi="宋体" w:eastAsia="宋体"/>
                <w:kern w:val="0"/>
                <w:sz w:val="20"/>
                <w:szCs w:val="20"/>
                <w:lang w:eastAsia="zh-CN"/>
              </w:rPr>
            </w:pPr>
            <w:r>
              <w:rPr>
                <w:rFonts w:hint="eastAsia" w:ascii="宋体" w:hAnsi="宋体"/>
                <w:kern w:val="0"/>
                <w:sz w:val="20"/>
                <w:szCs w:val="20"/>
              </w:rPr>
              <w:t>所投产品的生产厂商成功举办过省级或者是B类及B类以上赛项，得</w:t>
            </w:r>
            <w:r>
              <w:rPr>
                <w:rFonts w:hint="eastAsia" w:ascii="宋体" w:hAnsi="宋体"/>
                <w:kern w:val="0"/>
                <w:sz w:val="20"/>
                <w:szCs w:val="20"/>
                <w:lang w:val="en-US" w:eastAsia="zh-CN"/>
              </w:rPr>
              <w:t>4</w:t>
            </w:r>
            <w:r>
              <w:rPr>
                <w:rFonts w:hint="eastAsia" w:ascii="宋体" w:hAnsi="宋体"/>
                <w:kern w:val="0"/>
                <w:sz w:val="20"/>
                <w:szCs w:val="20"/>
              </w:rPr>
              <w:t>分</w:t>
            </w:r>
            <w:r>
              <w:rPr>
                <w:rFonts w:hint="eastAsia" w:ascii="宋体" w:hAnsi="宋体"/>
                <w:kern w:val="0"/>
                <w:sz w:val="20"/>
                <w:szCs w:val="20"/>
                <w:lang w:eastAsia="zh-CN"/>
              </w:rPr>
              <w:t>，</w:t>
            </w:r>
            <w:r>
              <w:rPr>
                <w:rFonts w:hint="eastAsia" w:ascii="宋体" w:hAnsi="宋体"/>
                <w:kern w:val="0"/>
                <w:sz w:val="20"/>
                <w:szCs w:val="20"/>
              </w:rPr>
              <w:t>否则得0分。</w:t>
            </w:r>
          </w:p>
          <w:p>
            <w:pPr>
              <w:widowControl/>
              <w:autoSpaceDE w:val="0"/>
              <w:spacing w:line="360" w:lineRule="auto"/>
              <w:rPr>
                <w:rFonts w:ascii="宋体" w:hAnsi="宋体"/>
                <w:kern w:val="0"/>
                <w:sz w:val="20"/>
                <w:szCs w:val="20"/>
              </w:rPr>
            </w:pPr>
            <w:r>
              <w:rPr>
                <w:rFonts w:hint="eastAsia" w:ascii="宋体" w:hAnsi="宋体"/>
                <w:kern w:val="0"/>
                <w:sz w:val="20"/>
                <w:szCs w:val="20"/>
              </w:rPr>
              <w:t>注：投标文件中须提供相关证明材料。</w:t>
            </w:r>
          </w:p>
        </w:tc>
        <w:tc>
          <w:tcPr>
            <w:tcW w:w="1269" w:type="dxa"/>
            <w:tcBorders>
              <w:top w:val="single" w:color="auto" w:sz="4" w:space="0"/>
              <w:left w:val="nil"/>
              <w:bottom w:val="single" w:color="auto" w:sz="4" w:space="0"/>
              <w:right w:val="single" w:color="auto" w:sz="4" w:space="0"/>
            </w:tcBorders>
            <w:noWrap w:val="0"/>
            <w:vAlign w:val="center"/>
          </w:tcPr>
          <w:p>
            <w:pPr>
              <w:autoSpaceDE w:val="0"/>
              <w:spacing w:line="360" w:lineRule="auto"/>
              <w:jc w:val="center"/>
              <w:rPr>
                <w:rFonts w:ascii="宋体" w:hAnsi="宋体"/>
                <w:kern w:val="0"/>
                <w:sz w:val="20"/>
                <w:szCs w:val="20"/>
              </w:rPr>
            </w:pPr>
            <w:r>
              <w:rPr>
                <w:rFonts w:hint="eastAsia" w:ascii="宋体" w:hAnsi="宋体"/>
                <w:kern w:val="0"/>
                <w:sz w:val="20"/>
                <w:szCs w:val="20"/>
              </w:rPr>
              <w:t>0-</w:t>
            </w:r>
            <w:r>
              <w:rPr>
                <w:rFonts w:hint="eastAsia" w:ascii="宋体" w:hAnsi="宋体"/>
                <w:kern w:val="0"/>
                <w:sz w:val="20"/>
                <w:szCs w:val="20"/>
                <w:lang w:val="en-US" w:eastAsia="zh-CN"/>
              </w:rPr>
              <w:t>4</w:t>
            </w:r>
            <w:r>
              <w:rPr>
                <w:rFonts w:hint="eastAsia" w:ascii="宋体" w:hAnsi="宋体"/>
                <w:kern w:val="0"/>
                <w:sz w:val="20"/>
                <w:szCs w:val="20"/>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40" w:type="dxa"/>
            <w:vMerge w:val="continue"/>
            <w:tcBorders>
              <w:top w:val="nil"/>
              <w:left w:val="single" w:color="auto" w:sz="4" w:space="0"/>
              <w:bottom w:val="single" w:color="auto" w:sz="4" w:space="0"/>
              <w:right w:val="single" w:color="auto" w:sz="4" w:space="0"/>
            </w:tcBorders>
            <w:noWrap w:val="0"/>
            <w:vAlign w:val="center"/>
          </w:tcPr>
          <w:p>
            <w:pPr>
              <w:widowControl/>
              <w:autoSpaceDE w:val="0"/>
              <w:jc w:val="left"/>
              <w:rPr>
                <w:rFonts w:ascii="宋体" w:hAnsi="宋体"/>
                <w:b/>
                <w:bCs/>
                <w:kern w:val="0"/>
                <w:sz w:val="20"/>
                <w:szCs w:val="20"/>
              </w:rPr>
            </w:pPr>
          </w:p>
        </w:tc>
        <w:tc>
          <w:tcPr>
            <w:tcW w:w="1278" w:type="dxa"/>
            <w:vMerge w:val="continue"/>
            <w:tcBorders>
              <w:left w:val="nil"/>
              <w:right w:val="single" w:color="auto" w:sz="4" w:space="0"/>
            </w:tcBorders>
            <w:noWrap w:val="0"/>
            <w:vAlign w:val="center"/>
          </w:tcPr>
          <w:p>
            <w:pPr>
              <w:widowControl/>
              <w:autoSpaceDE w:val="0"/>
              <w:jc w:val="left"/>
              <w:rPr>
                <w:rFonts w:ascii="宋体" w:hAnsi="宋体"/>
                <w:kern w:val="0"/>
                <w:sz w:val="20"/>
                <w:szCs w:val="20"/>
              </w:rPr>
            </w:pPr>
          </w:p>
        </w:tc>
        <w:tc>
          <w:tcPr>
            <w:tcW w:w="5110" w:type="dxa"/>
            <w:tcBorders>
              <w:top w:val="single" w:color="auto" w:sz="4" w:space="0"/>
              <w:left w:val="nil"/>
              <w:bottom w:val="single" w:color="auto" w:sz="4" w:space="0"/>
              <w:right w:val="single" w:color="auto" w:sz="4" w:space="0"/>
            </w:tcBorders>
            <w:noWrap w:val="0"/>
            <w:vAlign w:val="center"/>
          </w:tcPr>
          <w:p>
            <w:pPr>
              <w:autoSpaceDE w:val="0"/>
              <w:spacing w:line="360" w:lineRule="auto"/>
              <w:rPr>
                <w:rFonts w:hint="eastAsia" w:ascii="宋体" w:hAnsi="宋体" w:eastAsia="宋体"/>
                <w:kern w:val="0"/>
                <w:sz w:val="20"/>
                <w:szCs w:val="20"/>
                <w:lang w:val="en-US" w:eastAsia="zh-CN"/>
              </w:rPr>
            </w:pPr>
            <w:r>
              <w:rPr>
                <w:rFonts w:hint="eastAsia" w:ascii="宋体" w:hAnsi="宋体"/>
                <w:kern w:val="0"/>
                <w:sz w:val="20"/>
                <w:szCs w:val="20"/>
              </w:rPr>
              <w:t>所投产品的生产厂商</w:t>
            </w:r>
            <w:r>
              <w:rPr>
                <w:rFonts w:hint="eastAsia" w:ascii="宋体" w:hAnsi="宋体"/>
                <w:kern w:val="0"/>
                <w:sz w:val="20"/>
                <w:szCs w:val="20"/>
                <w:lang w:val="en-US" w:eastAsia="zh-CN"/>
              </w:rPr>
              <w:t>具有自己独立就业推荐信息网站的，得4分，</w:t>
            </w:r>
            <w:r>
              <w:rPr>
                <w:rFonts w:hint="eastAsia" w:ascii="宋体" w:hAnsi="宋体"/>
                <w:kern w:val="0"/>
                <w:sz w:val="20"/>
                <w:szCs w:val="20"/>
              </w:rPr>
              <w:t>否则得0分。</w:t>
            </w:r>
          </w:p>
          <w:p>
            <w:pPr>
              <w:widowControl/>
              <w:autoSpaceDE w:val="0"/>
              <w:spacing w:line="360" w:lineRule="auto"/>
              <w:rPr>
                <w:rFonts w:hint="eastAsia" w:ascii="宋体" w:hAnsi="宋体" w:eastAsia="宋体"/>
                <w:kern w:val="0"/>
                <w:sz w:val="20"/>
                <w:szCs w:val="20"/>
                <w:lang w:val="en-US" w:eastAsia="zh-CN"/>
              </w:rPr>
            </w:pPr>
            <w:r>
              <w:rPr>
                <w:rFonts w:hint="eastAsia" w:ascii="宋体" w:hAnsi="宋体"/>
                <w:kern w:val="0"/>
                <w:sz w:val="20"/>
                <w:szCs w:val="20"/>
              </w:rPr>
              <w:t>注：投标文件中须提供</w:t>
            </w:r>
            <w:r>
              <w:rPr>
                <w:rFonts w:hint="eastAsia" w:ascii="宋体" w:hAnsi="宋体"/>
                <w:kern w:val="0"/>
                <w:sz w:val="20"/>
                <w:szCs w:val="20"/>
                <w:lang w:val="en-US" w:eastAsia="zh-CN"/>
              </w:rPr>
              <w:t>网站截图及网址</w:t>
            </w:r>
          </w:p>
        </w:tc>
        <w:tc>
          <w:tcPr>
            <w:tcW w:w="1269" w:type="dxa"/>
            <w:tcBorders>
              <w:top w:val="single" w:color="auto" w:sz="4" w:space="0"/>
              <w:left w:val="nil"/>
              <w:bottom w:val="single" w:color="auto" w:sz="4" w:space="0"/>
              <w:right w:val="single" w:color="auto" w:sz="4" w:space="0"/>
            </w:tcBorders>
            <w:noWrap w:val="0"/>
            <w:vAlign w:val="center"/>
          </w:tcPr>
          <w:p>
            <w:pPr>
              <w:autoSpaceDE w:val="0"/>
              <w:spacing w:line="360" w:lineRule="auto"/>
              <w:jc w:val="center"/>
              <w:rPr>
                <w:rFonts w:ascii="宋体" w:hAnsi="宋体"/>
                <w:kern w:val="0"/>
                <w:sz w:val="20"/>
                <w:szCs w:val="20"/>
              </w:rPr>
            </w:pPr>
            <w:r>
              <w:rPr>
                <w:rFonts w:hint="eastAsia" w:ascii="宋体" w:hAnsi="宋体"/>
                <w:kern w:val="0"/>
                <w:sz w:val="20"/>
                <w:szCs w:val="20"/>
              </w:rPr>
              <w:t>0-</w:t>
            </w:r>
            <w:r>
              <w:rPr>
                <w:rFonts w:hint="eastAsia" w:ascii="宋体" w:hAnsi="宋体"/>
                <w:kern w:val="0"/>
                <w:sz w:val="20"/>
                <w:szCs w:val="20"/>
                <w:lang w:val="en-US" w:eastAsia="zh-CN"/>
              </w:rPr>
              <w:t>4</w:t>
            </w:r>
            <w:r>
              <w:rPr>
                <w:rFonts w:hint="eastAsia" w:ascii="宋体" w:hAnsi="宋体"/>
                <w:kern w:val="0"/>
                <w:sz w:val="20"/>
                <w:szCs w:val="20"/>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40" w:type="dxa"/>
            <w:vMerge w:val="continue"/>
            <w:tcBorders>
              <w:top w:val="nil"/>
              <w:left w:val="single" w:color="auto" w:sz="4" w:space="0"/>
              <w:bottom w:val="single" w:color="auto" w:sz="4" w:space="0"/>
              <w:right w:val="single" w:color="auto" w:sz="4" w:space="0"/>
            </w:tcBorders>
            <w:noWrap w:val="0"/>
            <w:vAlign w:val="center"/>
          </w:tcPr>
          <w:p>
            <w:pPr>
              <w:widowControl/>
              <w:autoSpaceDE w:val="0"/>
              <w:jc w:val="left"/>
              <w:rPr>
                <w:rFonts w:ascii="宋体" w:hAnsi="宋体"/>
                <w:b/>
                <w:bCs/>
                <w:kern w:val="0"/>
                <w:sz w:val="20"/>
                <w:szCs w:val="20"/>
              </w:rPr>
            </w:pPr>
          </w:p>
        </w:tc>
        <w:tc>
          <w:tcPr>
            <w:tcW w:w="1278" w:type="dxa"/>
            <w:vMerge w:val="continue"/>
            <w:tcBorders>
              <w:left w:val="nil"/>
              <w:right w:val="single" w:color="auto" w:sz="4" w:space="0"/>
            </w:tcBorders>
            <w:noWrap w:val="0"/>
            <w:vAlign w:val="center"/>
          </w:tcPr>
          <w:p>
            <w:pPr>
              <w:widowControl/>
              <w:autoSpaceDE w:val="0"/>
              <w:jc w:val="left"/>
              <w:rPr>
                <w:rFonts w:ascii="宋体" w:hAnsi="宋体"/>
                <w:kern w:val="0"/>
                <w:sz w:val="20"/>
                <w:szCs w:val="20"/>
              </w:rPr>
            </w:pPr>
          </w:p>
        </w:tc>
        <w:tc>
          <w:tcPr>
            <w:tcW w:w="5110" w:type="dxa"/>
            <w:tcBorders>
              <w:top w:val="single" w:color="auto" w:sz="4" w:space="0"/>
              <w:left w:val="nil"/>
              <w:bottom w:val="single" w:color="auto" w:sz="4" w:space="0"/>
              <w:right w:val="single" w:color="auto" w:sz="4" w:space="0"/>
            </w:tcBorders>
            <w:noWrap w:val="0"/>
            <w:vAlign w:val="center"/>
          </w:tcPr>
          <w:p>
            <w:pPr>
              <w:autoSpaceDE w:val="0"/>
              <w:spacing w:line="360" w:lineRule="auto"/>
              <w:rPr>
                <w:rFonts w:hint="eastAsia" w:ascii="宋体" w:hAnsi="宋体" w:eastAsia="宋体"/>
                <w:kern w:val="0"/>
                <w:sz w:val="20"/>
                <w:szCs w:val="20"/>
                <w:lang w:eastAsia="zh-CN"/>
              </w:rPr>
            </w:pPr>
            <w:r>
              <w:rPr>
                <w:rFonts w:hint="eastAsia" w:ascii="宋体" w:hAnsi="宋体"/>
                <w:kern w:val="0"/>
                <w:sz w:val="20"/>
                <w:szCs w:val="20"/>
              </w:rPr>
              <w:t>所投产品的生产厂商为工业和信息化部人才交流中心全国信息化工程师认证合作企业的，得</w:t>
            </w:r>
            <w:r>
              <w:rPr>
                <w:rFonts w:hint="eastAsia" w:ascii="宋体" w:hAnsi="宋体"/>
                <w:kern w:val="0"/>
                <w:sz w:val="20"/>
                <w:szCs w:val="20"/>
                <w:lang w:val="en-US" w:eastAsia="zh-CN"/>
              </w:rPr>
              <w:t>3</w:t>
            </w:r>
            <w:r>
              <w:rPr>
                <w:rFonts w:hint="eastAsia" w:ascii="宋体" w:hAnsi="宋体"/>
                <w:kern w:val="0"/>
                <w:sz w:val="20"/>
                <w:szCs w:val="20"/>
              </w:rPr>
              <w:t>分</w:t>
            </w:r>
            <w:r>
              <w:rPr>
                <w:rFonts w:hint="eastAsia" w:ascii="宋体" w:hAnsi="宋体"/>
                <w:kern w:val="0"/>
                <w:sz w:val="20"/>
                <w:szCs w:val="20"/>
                <w:lang w:eastAsia="zh-CN"/>
              </w:rPr>
              <w:t>，</w:t>
            </w:r>
            <w:r>
              <w:rPr>
                <w:rFonts w:hint="eastAsia" w:ascii="宋体" w:hAnsi="宋体"/>
                <w:kern w:val="0"/>
                <w:sz w:val="20"/>
                <w:szCs w:val="20"/>
              </w:rPr>
              <w:t>否则得0分。</w:t>
            </w:r>
          </w:p>
          <w:p>
            <w:pPr>
              <w:autoSpaceDE w:val="0"/>
              <w:spacing w:line="360" w:lineRule="auto"/>
              <w:rPr>
                <w:rFonts w:ascii="宋体" w:hAnsi="宋体"/>
                <w:kern w:val="0"/>
                <w:sz w:val="20"/>
                <w:szCs w:val="20"/>
              </w:rPr>
            </w:pPr>
            <w:r>
              <w:rPr>
                <w:rFonts w:hint="eastAsia" w:ascii="宋体" w:hAnsi="宋体"/>
                <w:kern w:val="0"/>
                <w:sz w:val="20"/>
                <w:szCs w:val="20"/>
              </w:rPr>
              <w:t>注：投标文件中须提供全国信息化工程师认证证书扫描件或相关材料。</w:t>
            </w:r>
          </w:p>
        </w:tc>
        <w:tc>
          <w:tcPr>
            <w:tcW w:w="1269" w:type="dxa"/>
            <w:tcBorders>
              <w:top w:val="single" w:color="auto" w:sz="4" w:space="0"/>
              <w:left w:val="nil"/>
              <w:bottom w:val="single" w:color="auto" w:sz="4" w:space="0"/>
              <w:right w:val="single" w:color="auto" w:sz="4" w:space="0"/>
            </w:tcBorders>
            <w:noWrap w:val="0"/>
            <w:vAlign w:val="center"/>
          </w:tcPr>
          <w:p>
            <w:pPr>
              <w:autoSpaceDE w:val="0"/>
              <w:spacing w:line="360" w:lineRule="auto"/>
              <w:jc w:val="center"/>
              <w:rPr>
                <w:rFonts w:ascii="宋体" w:hAnsi="宋体"/>
                <w:kern w:val="0"/>
                <w:sz w:val="20"/>
                <w:szCs w:val="20"/>
              </w:rPr>
            </w:pPr>
            <w:r>
              <w:rPr>
                <w:rFonts w:hint="eastAsia" w:ascii="宋体" w:hAnsi="宋体"/>
                <w:kern w:val="0"/>
                <w:sz w:val="20"/>
                <w:szCs w:val="20"/>
              </w:rPr>
              <w:t>0-</w:t>
            </w:r>
            <w:r>
              <w:rPr>
                <w:rFonts w:hint="eastAsia" w:ascii="宋体" w:hAnsi="宋体"/>
                <w:kern w:val="0"/>
                <w:sz w:val="20"/>
                <w:szCs w:val="20"/>
                <w:lang w:val="en-US" w:eastAsia="zh-CN"/>
              </w:rPr>
              <w:t>3</w:t>
            </w:r>
            <w:r>
              <w:rPr>
                <w:rFonts w:hint="eastAsia" w:ascii="宋体" w:hAnsi="宋体"/>
                <w:kern w:val="0"/>
                <w:sz w:val="20"/>
                <w:szCs w:val="20"/>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40" w:type="dxa"/>
            <w:vMerge w:val="continue"/>
            <w:tcBorders>
              <w:top w:val="nil"/>
              <w:left w:val="single" w:color="auto" w:sz="4" w:space="0"/>
              <w:bottom w:val="single" w:color="auto" w:sz="4" w:space="0"/>
              <w:right w:val="single" w:color="auto" w:sz="4" w:space="0"/>
            </w:tcBorders>
            <w:noWrap w:val="0"/>
            <w:vAlign w:val="center"/>
          </w:tcPr>
          <w:p>
            <w:pPr>
              <w:widowControl/>
              <w:autoSpaceDE w:val="0"/>
              <w:jc w:val="left"/>
              <w:rPr>
                <w:rFonts w:ascii="宋体" w:hAnsi="宋体"/>
                <w:b/>
                <w:bCs/>
                <w:kern w:val="0"/>
                <w:sz w:val="20"/>
                <w:szCs w:val="20"/>
              </w:rPr>
            </w:pPr>
          </w:p>
        </w:tc>
        <w:tc>
          <w:tcPr>
            <w:tcW w:w="1278" w:type="dxa"/>
            <w:vMerge w:val="continue"/>
            <w:tcBorders>
              <w:left w:val="nil"/>
              <w:right w:val="single" w:color="auto" w:sz="4" w:space="0"/>
            </w:tcBorders>
            <w:noWrap w:val="0"/>
            <w:vAlign w:val="center"/>
          </w:tcPr>
          <w:p>
            <w:pPr>
              <w:widowControl/>
              <w:autoSpaceDE w:val="0"/>
              <w:jc w:val="left"/>
              <w:rPr>
                <w:rFonts w:ascii="宋体" w:hAnsi="宋体"/>
                <w:kern w:val="0"/>
                <w:sz w:val="20"/>
                <w:szCs w:val="20"/>
              </w:rPr>
            </w:pPr>
          </w:p>
        </w:tc>
        <w:tc>
          <w:tcPr>
            <w:tcW w:w="5110" w:type="dxa"/>
            <w:tcBorders>
              <w:top w:val="single" w:color="auto" w:sz="4" w:space="0"/>
              <w:left w:val="nil"/>
              <w:bottom w:val="single" w:color="auto" w:sz="4" w:space="0"/>
              <w:right w:val="single" w:color="auto" w:sz="4" w:space="0"/>
            </w:tcBorders>
            <w:noWrap w:val="0"/>
            <w:vAlign w:val="center"/>
          </w:tcPr>
          <w:p>
            <w:pPr>
              <w:autoSpaceDE w:val="0"/>
              <w:spacing w:line="360" w:lineRule="auto"/>
              <w:rPr>
                <w:rFonts w:ascii="宋体" w:hAnsi="宋体"/>
                <w:kern w:val="0"/>
                <w:sz w:val="20"/>
                <w:szCs w:val="20"/>
              </w:rPr>
            </w:pPr>
            <w:r>
              <w:rPr>
                <w:rFonts w:hint="eastAsia" w:ascii="宋体" w:hAnsi="宋体"/>
                <w:kern w:val="0"/>
                <w:sz w:val="20"/>
                <w:szCs w:val="20"/>
              </w:rPr>
              <w:t>所投生产厂商可提供中国大学MOOC网的在线师资研修、师资培训、师资认证、教学支持、邮件电话等远程支持及企业顶岗实践等服务的，得</w:t>
            </w:r>
            <w:r>
              <w:rPr>
                <w:rFonts w:hint="eastAsia" w:ascii="宋体" w:hAnsi="宋体"/>
                <w:kern w:val="0"/>
                <w:sz w:val="20"/>
                <w:szCs w:val="20"/>
                <w:lang w:val="en-US" w:eastAsia="zh-CN"/>
              </w:rPr>
              <w:t>3</w:t>
            </w:r>
            <w:r>
              <w:rPr>
                <w:rFonts w:hint="eastAsia" w:ascii="宋体" w:hAnsi="宋体"/>
                <w:kern w:val="0"/>
                <w:sz w:val="20"/>
                <w:szCs w:val="20"/>
              </w:rPr>
              <w:t>分，否则得0分。</w:t>
            </w:r>
          </w:p>
          <w:p>
            <w:pPr>
              <w:autoSpaceDE w:val="0"/>
              <w:spacing w:line="360" w:lineRule="auto"/>
              <w:rPr>
                <w:rFonts w:ascii="宋体" w:hAnsi="宋体"/>
                <w:kern w:val="0"/>
                <w:sz w:val="20"/>
                <w:szCs w:val="20"/>
              </w:rPr>
            </w:pPr>
            <w:r>
              <w:rPr>
                <w:rFonts w:hint="eastAsia" w:ascii="宋体" w:hAnsi="宋体"/>
                <w:kern w:val="0"/>
                <w:sz w:val="20"/>
                <w:szCs w:val="20"/>
              </w:rPr>
              <w:t>注：投标文件中须提供中国大学MOOC网站截图证明材料。</w:t>
            </w:r>
          </w:p>
        </w:tc>
        <w:tc>
          <w:tcPr>
            <w:tcW w:w="1269" w:type="dxa"/>
            <w:tcBorders>
              <w:top w:val="single" w:color="auto" w:sz="4" w:space="0"/>
              <w:left w:val="nil"/>
              <w:bottom w:val="single" w:color="auto" w:sz="4" w:space="0"/>
              <w:right w:val="single" w:color="auto" w:sz="4" w:space="0"/>
            </w:tcBorders>
            <w:noWrap w:val="0"/>
            <w:vAlign w:val="center"/>
          </w:tcPr>
          <w:p>
            <w:pPr>
              <w:autoSpaceDE w:val="0"/>
              <w:spacing w:line="360" w:lineRule="auto"/>
              <w:jc w:val="center"/>
              <w:rPr>
                <w:rFonts w:ascii="宋体" w:hAnsi="宋体"/>
                <w:kern w:val="0"/>
                <w:sz w:val="20"/>
                <w:szCs w:val="20"/>
              </w:rPr>
            </w:pPr>
            <w:r>
              <w:rPr>
                <w:rFonts w:hint="eastAsia" w:ascii="宋体" w:hAnsi="宋体"/>
                <w:kern w:val="0"/>
                <w:sz w:val="20"/>
                <w:szCs w:val="20"/>
              </w:rPr>
              <w:t>0-</w:t>
            </w:r>
            <w:r>
              <w:rPr>
                <w:rFonts w:hint="eastAsia" w:ascii="宋体" w:hAnsi="宋体"/>
                <w:kern w:val="0"/>
                <w:sz w:val="20"/>
                <w:szCs w:val="20"/>
                <w:lang w:val="en-US" w:eastAsia="zh-CN"/>
              </w:rPr>
              <w:t>3</w:t>
            </w:r>
            <w:r>
              <w:rPr>
                <w:rFonts w:hint="eastAsia" w:ascii="宋体" w:hAnsi="宋体"/>
                <w:kern w:val="0"/>
                <w:sz w:val="20"/>
                <w:szCs w:val="20"/>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4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val="0"/>
              <w:jc w:val="left"/>
              <w:rPr>
                <w:rFonts w:ascii="宋体" w:hAnsi="宋体"/>
                <w:b/>
                <w:bCs/>
                <w:kern w:val="0"/>
                <w:sz w:val="20"/>
                <w:szCs w:val="20"/>
              </w:rPr>
            </w:pPr>
          </w:p>
        </w:tc>
        <w:tc>
          <w:tcPr>
            <w:tcW w:w="1278" w:type="dxa"/>
            <w:vMerge w:val="continue"/>
            <w:tcBorders>
              <w:left w:val="nil"/>
              <w:bottom w:val="single" w:color="auto" w:sz="4" w:space="0"/>
              <w:right w:val="single" w:color="auto" w:sz="4" w:space="0"/>
            </w:tcBorders>
            <w:noWrap w:val="0"/>
            <w:vAlign w:val="center"/>
          </w:tcPr>
          <w:p>
            <w:pPr>
              <w:widowControl/>
              <w:autoSpaceDE w:val="0"/>
              <w:spacing w:line="360" w:lineRule="auto"/>
              <w:jc w:val="center"/>
              <w:rPr>
                <w:rFonts w:hint="eastAsia" w:ascii="宋体" w:hAnsi="宋体"/>
                <w:kern w:val="0"/>
                <w:sz w:val="20"/>
                <w:szCs w:val="20"/>
              </w:rPr>
            </w:pPr>
          </w:p>
        </w:tc>
        <w:tc>
          <w:tcPr>
            <w:tcW w:w="5110" w:type="dxa"/>
            <w:tcBorders>
              <w:top w:val="single" w:color="auto" w:sz="4" w:space="0"/>
              <w:left w:val="nil"/>
              <w:bottom w:val="single" w:color="auto" w:sz="4" w:space="0"/>
              <w:right w:val="single" w:color="auto" w:sz="4" w:space="0"/>
            </w:tcBorders>
            <w:noWrap w:val="0"/>
            <w:vAlign w:val="center"/>
          </w:tcPr>
          <w:p>
            <w:pPr>
              <w:autoSpaceDE w:val="0"/>
              <w:spacing w:line="360" w:lineRule="auto"/>
              <w:rPr>
                <w:rFonts w:hint="default" w:ascii="宋体" w:hAnsi="宋体"/>
                <w:kern w:val="0"/>
                <w:sz w:val="20"/>
                <w:szCs w:val="20"/>
                <w:lang w:val="en-US" w:eastAsia="zh-CN"/>
              </w:rPr>
            </w:pPr>
            <w:r>
              <w:rPr>
                <w:rFonts w:hint="eastAsia" w:ascii="宋体" w:hAnsi="宋体"/>
                <w:kern w:val="0"/>
                <w:sz w:val="20"/>
                <w:szCs w:val="20"/>
                <w:lang w:val="en-US" w:eastAsia="zh-CN"/>
              </w:rPr>
              <w:t>所投产品的生产厂商有，过全国职业院校技能大赛合作经验的，得4分，否则得0分。</w:t>
            </w:r>
          </w:p>
          <w:p>
            <w:pPr>
              <w:autoSpaceDE w:val="0"/>
              <w:spacing w:line="360" w:lineRule="auto"/>
              <w:rPr>
                <w:rFonts w:hint="default" w:ascii="宋体" w:hAnsi="宋体"/>
                <w:kern w:val="0"/>
                <w:sz w:val="20"/>
                <w:szCs w:val="20"/>
                <w:lang w:val="en-US" w:eastAsia="zh-CN"/>
              </w:rPr>
            </w:pPr>
            <w:r>
              <w:rPr>
                <w:rFonts w:hint="eastAsia" w:ascii="宋体" w:hAnsi="宋体"/>
                <w:kern w:val="0"/>
                <w:sz w:val="20"/>
                <w:szCs w:val="20"/>
                <w:lang w:val="en-US" w:eastAsia="zh-CN"/>
              </w:rPr>
              <w:t>注：投标文件中需提供全国职业院校技能大赛合作企业证明文件扫描件或相关材料</w:t>
            </w:r>
          </w:p>
        </w:tc>
        <w:tc>
          <w:tcPr>
            <w:tcW w:w="1269" w:type="dxa"/>
            <w:tcBorders>
              <w:top w:val="single" w:color="auto" w:sz="4" w:space="0"/>
              <w:left w:val="nil"/>
              <w:bottom w:val="single" w:color="auto" w:sz="4" w:space="0"/>
              <w:right w:val="single" w:color="auto" w:sz="4" w:space="0"/>
            </w:tcBorders>
            <w:noWrap w:val="0"/>
            <w:vAlign w:val="center"/>
          </w:tcPr>
          <w:p>
            <w:pPr>
              <w:autoSpaceDE w:val="0"/>
              <w:spacing w:line="360" w:lineRule="auto"/>
              <w:jc w:val="center"/>
              <w:rPr>
                <w:rFonts w:hint="default" w:ascii="宋体" w:hAnsi="宋体" w:eastAsia="宋体"/>
                <w:kern w:val="0"/>
                <w:sz w:val="20"/>
                <w:szCs w:val="20"/>
                <w:lang w:val="en-US" w:eastAsia="zh-CN"/>
              </w:rPr>
            </w:pPr>
            <w:r>
              <w:rPr>
                <w:rFonts w:hint="eastAsia" w:ascii="宋体" w:hAnsi="宋体"/>
                <w:kern w:val="0"/>
                <w:sz w:val="20"/>
                <w:szCs w:val="20"/>
                <w:lang w:val="en-US" w:eastAsia="zh-CN"/>
              </w:rPr>
              <w:t>0-4分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4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val="0"/>
              <w:jc w:val="left"/>
              <w:rPr>
                <w:rFonts w:ascii="宋体" w:hAnsi="宋体"/>
                <w:b/>
                <w:bCs/>
                <w:kern w:val="0"/>
                <w:sz w:val="20"/>
                <w:szCs w:val="20"/>
              </w:rPr>
            </w:pPr>
          </w:p>
        </w:tc>
        <w:tc>
          <w:tcPr>
            <w:tcW w:w="127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autoSpaceDE w:val="0"/>
              <w:spacing w:line="360" w:lineRule="auto"/>
              <w:jc w:val="center"/>
              <w:rPr>
                <w:rFonts w:ascii="宋体" w:hAnsi="宋体"/>
                <w:kern w:val="0"/>
                <w:sz w:val="20"/>
                <w:szCs w:val="20"/>
              </w:rPr>
            </w:pPr>
            <w:r>
              <w:rPr>
                <w:rFonts w:hint="eastAsia" w:ascii="宋体" w:hAnsi="宋体"/>
                <w:kern w:val="0"/>
                <w:sz w:val="20"/>
                <w:szCs w:val="20"/>
              </w:rPr>
              <w:t>投标供应商资信</w:t>
            </w:r>
          </w:p>
        </w:tc>
        <w:tc>
          <w:tcPr>
            <w:tcW w:w="5110" w:type="dxa"/>
            <w:tcBorders>
              <w:top w:val="single" w:color="auto" w:sz="4" w:space="0"/>
              <w:left w:val="nil"/>
              <w:bottom w:val="single" w:color="auto" w:sz="4" w:space="0"/>
              <w:right w:val="single" w:color="auto" w:sz="4" w:space="0"/>
            </w:tcBorders>
            <w:noWrap w:val="0"/>
            <w:vAlign w:val="center"/>
          </w:tcPr>
          <w:p>
            <w:pPr>
              <w:autoSpaceDE w:val="0"/>
              <w:spacing w:line="360" w:lineRule="auto"/>
              <w:rPr>
                <w:rFonts w:ascii="宋体" w:hAnsi="宋体"/>
                <w:kern w:val="0"/>
                <w:sz w:val="20"/>
                <w:szCs w:val="20"/>
              </w:rPr>
            </w:pPr>
            <w:r>
              <w:rPr>
                <w:rFonts w:hint="eastAsia" w:ascii="宋体" w:hAnsi="宋体"/>
                <w:kern w:val="0"/>
                <w:sz w:val="20"/>
                <w:szCs w:val="20"/>
              </w:rPr>
              <w:t>投标供应商可提供I</w:t>
            </w:r>
            <w:r>
              <w:rPr>
                <w:rFonts w:ascii="宋体" w:hAnsi="宋体"/>
                <w:kern w:val="0"/>
                <w:sz w:val="20"/>
                <w:szCs w:val="20"/>
              </w:rPr>
              <w:t>SO9001质量管理体系认证证书</w:t>
            </w:r>
            <w:r>
              <w:rPr>
                <w:rFonts w:hint="eastAsia" w:ascii="宋体" w:hAnsi="宋体"/>
                <w:kern w:val="0"/>
                <w:sz w:val="20"/>
                <w:szCs w:val="20"/>
              </w:rPr>
              <w:t>，</w:t>
            </w:r>
            <w:r>
              <w:rPr>
                <w:rFonts w:ascii="宋体" w:hAnsi="宋体"/>
                <w:kern w:val="0"/>
                <w:sz w:val="20"/>
                <w:szCs w:val="20"/>
              </w:rPr>
              <w:t>得</w:t>
            </w:r>
            <w:r>
              <w:rPr>
                <w:rFonts w:hint="eastAsia" w:ascii="宋体" w:hAnsi="宋体"/>
                <w:kern w:val="0"/>
                <w:sz w:val="20"/>
                <w:szCs w:val="20"/>
                <w:lang w:val="en-US" w:eastAsia="zh-CN"/>
              </w:rPr>
              <w:t>3</w:t>
            </w:r>
            <w:r>
              <w:rPr>
                <w:rFonts w:hint="eastAsia" w:ascii="宋体" w:hAnsi="宋体"/>
                <w:kern w:val="0"/>
                <w:sz w:val="20"/>
                <w:szCs w:val="20"/>
              </w:rPr>
              <w:t>分，否则得0分。</w:t>
            </w:r>
          </w:p>
          <w:p>
            <w:pPr>
              <w:autoSpaceDE w:val="0"/>
              <w:spacing w:line="360" w:lineRule="auto"/>
              <w:rPr>
                <w:rFonts w:ascii="宋体" w:hAnsi="宋体"/>
                <w:kern w:val="0"/>
                <w:sz w:val="20"/>
                <w:szCs w:val="20"/>
              </w:rPr>
            </w:pPr>
            <w:r>
              <w:rPr>
                <w:rFonts w:hint="eastAsia" w:ascii="宋体" w:hAnsi="宋体"/>
                <w:kern w:val="0"/>
                <w:sz w:val="20"/>
                <w:szCs w:val="20"/>
              </w:rPr>
              <w:t>注：投标文件中提供上述证书扫描件。</w:t>
            </w:r>
          </w:p>
        </w:tc>
        <w:tc>
          <w:tcPr>
            <w:tcW w:w="1269" w:type="dxa"/>
            <w:tcBorders>
              <w:top w:val="single" w:color="auto" w:sz="4" w:space="0"/>
              <w:left w:val="nil"/>
              <w:bottom w:val="single" w:color="auto" w:sz="4" w:space="0"/>
              <w:right w:val="single" w:color="auto" w:sz="4" w:space="0"/>
            </w:tcBorders>
            <w:noWrap w:val="0"/>
            <w:vAlign w:val="center"/>
          </w:tcPr>
          <w:p>
            <w:pPr>
              <w:autoSpaceDE w:val="0"/>
              <w:spacing w:line="360" w:lineRule="auto"/>
              <w:jc w:val="center"/>
              <w:rPr>
                <w:rFonts w:ascii="宋体" w:hAnsi="宋体"/>
                <w:kern w:val="0"/>
                <w:sz w:val="20"/>
                <w:szCs w:val="20"/>
              </w:rPr>
            </w:pPr>
            <w:r>
              <w:rPr>
                <w:rFonts w:hint="eastAsia" w:ascii="宋体" w:hAnsi="宋体"/>
                <w:kern w:val="0"/>
                <w:sz w:val="20"/>
                <w:szCs w:val="20"/>
              </w:rPr>
              <w:t>0-</w:t>
            </w:r>
            <w:r>
              <w:rPr>
                <w:rFonts w:hint="eastAsia" w:ascii="宋体" w:hAnsi="宋体"/>
                <w:kern w:val="0"/>
                <w:sz w:val="20"/>
                <w:szCs w:val="20"/>
                <w:lang w:val="en-US" w:eastAsia="zh-CN"/>
              </w:rPr>
              <w:t>3</w:t>
            </w:r>
            <w:r>
              <w:rPr>
                <w:rFonts w:hint="eastAsia" w:ascii="宋体" w:hAnsi="宋体"/>
                <w:kern w:val="0"/>
                <w:sz w:val="20"/>
                <w:szCs w:val="20"/>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4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val="0"/>
              <w:jc w:val="left"/>
              <w:rPr>
                <w:rFonts w:ascii="宋体" w:hAnsi="宋体"/>
                <w:b/>
                <w:bCs/>
                <w:kern w:val="0"/>
                <w:sz w:val="20"/>
                <w:szCs w:val="20"/>
              </w:rPr>
            </w:pPr>
          </w:p>
        </w:tc>
        <w:tc>
          <w:tcPr>
            <w:tcW w:w="12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val="0"/>
              <w:spacing w:line="360" w:lineRule="auto"/>
              <w:jc w:val="center"/>
              <w:rPr>
                <w:rFonts w:ascii="宋体" w:hAnsi="宋体"/>
                <w:kern w:val="0"/>
                <w:sz w:val="20"/>
                <w:szCs w:val="20"/>
              </w:rPr>
            </w:pPr>
          </w:p>
        </w:tc>
        <w:tc>
          <w:tcPr>
            <w:tcW w:w="5110" w:type="dxa"/>
            <w:tcBorders>
              <w:top w:val="single" w:color="auto" w:sz="4" w:space="0"/>
              <w:left w:val="nil"/>
              <w:bottom w:val="single" w:color="auto" w:sz="4" w:space="0"/>
              <w:right w:val="single" w:color="auto" w:sz="4" w:space="0"/>
            </w:tcBorders>
            <w:noWrap w:val="0"/>
            <w:vAlign w:val="center"/>
          </w:tcPr>
          <w:p>
            <w:pPr>
              <w:widowControl/>
              <w:autoSpaceDE w:val="0"/>
              <w:spacing w:line="360" w:lineRule="auto"/>
              <w:jc w:val="left"/>
              <w:rPr>
                <w:rFonts w:ascii="宋体" w:hAnsi="宋体"/>
                <w:kern w:val="0"/>
                <w:sz w:val="20"/>
                <w:szCs w:val="20"/>
              </w:rPr>
            </w:pPr>
            <w:r>
              <w:rPr>
                <w:rFonts w:hint="eastAsia" w:ascii="宋体" w:hAnsi="宋体"/>
                <w:kern w:val="0"/>
                <w:sz w:val="20"/>
                <w:szCs w:val="20"/>
              </w:rPr>
              <w:t>投标供应商ITSS信息技术服务运行维护标准达到成熟度等级叁级及以上，得</w:t>
            </w:r>
            <w:r>
              <w:rPr>
                <w:rFonts w:ascii="宋体" w:hAnsi="宋体"/>
                <w:kern w:val="0"/>
                <w:sz w:val="20"/>
                <w:szCs w:val="20"/>
              </w:rPr>
              <w:t>2</w:t>
            </w:r>
            <w:r>
              <w:rPr>
                <w:rFonts w:hint="eastAsia" w:ascii="宋体" w:hAnsi="宋体"/>
                <w:kern w:val="0"/>
                <w:sz w:val="20"/>
                <w:szCs w:val="20"/>
              </w:rPr>
              <w:t>分，否则得0分。</w:t>
            </w:r>
          </w:p>
          <w:p>
            <w:pPr>
              <w:widowControl/>
              <w:autoSpaceDE w:val="0"/>
              <w:spacing w:line="360" w:lineRule="auto"/>
              <w:jc w:val="left"/>
              <w:rPr>
                <w:rFonts w:ascii="宋体" w:hAnsi="宋体"/>
                <w:kern w:val="0"/>
                <w:sz w:val="20"/>
                <w:szCs w:val="20"/>
              </w:rPr>
            </w:pPr>
            <w:r>
              <w:rPr>
                <w:rFonts w:hint="eastAsia" w:hAnsi="宋体"/>
                <w:kern w:val="0"/>
                <w:sz w:val="20"/>
                <w:szCs w:val="20"/>
              </w:rPr>
              <w:t>注：投标文件中提供上述证书扫描件。</w:t>
            </w:r>
          </w:p>
        </w:tc>
        <w:tc>
          <w:tcPr>
            <w:tcW w:w="1269" w:type="dxa"/>
            <w:tcBorders>
              <w:top w:val="single" w:color="auto" w:sz="4" w:space="0"/>
              <w:left w:val="nil"/>
              <w:bottom w:val="single" w:color="auto" w:sz="4" w:space="0"/>
              <w:right w:val="single" w:color="auto" w:sz="4" w:space="0"/>
            </w:tcBorders>
            <w:noWrap w:val="0"/>
            <w:vAlign w:val="center"/>
          </w:tcPr>
          <w:p>
            <w:pPr>
              <w:autoSpaceDE w:val="0"/>
              <w:spacing w:line="360" w:lineRule="auto"/>
              <w:jc w:val="center"/>
              <w:rPr>
                <w:rFonts w:ascii="宋体" w:hAnsi="宋体"/>
                <w:kern w:val="0"/>
                <w:sz w:val="20"/>
                <w:szCs w:val="20"/>
              </w:rPr>
            </w:pPr>
            <w:r>
              <w:rPr>
                <w:rFonts w:hint="eastAsia" w:ascii="宋体" w:hAnsi="宋体"/>
                <w:kern w:val="0"/>
                <w:sz w:val="20"/>
                <w:szCs w:val="20"/>
              </w:rPr>
              <w:t>0-</w:t>
            </w:r>
            <w:r>
              <w:rPr>
                <w:rFonts w:ascii="宋体" w:hAnsi="宋体"/>
                <w:kern w:val="0"/>
                <w:sz w:val="20"/>
                <w:szCs w:val="20"/>
              </w:rPr>
              <w:t>2</w:t>
            </w:r>
            <w:r>
              <w:rPr>
                <w:rFonts w:hint="eastAsia" w:ascii="宋体" w:hAnsi="宋体"/>
                <w:kern w:val="0"/>
                <w:sz w:val="20"/>
                <w:szCs w:val="20"/>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40" w:type="dxa"/>
            <w:tcBorders>
              <w:top w:val="single" w:color="auto" w:sz="4" w:space="0"/>
              <w:left w:val="single" w:color="auto" w:sz="4" w:space="0"/>
              <w:bottom w:val="single" w:color="auto" w:sz="4" w:space="0"/>
              <w:right w:val="single" w:color="auto" w:sz="4" w:space="0"/>
            </w:tcBorders>
            <w:noWrap w:val="0"/>
            <w:vAlign w:val="center"/>
          </w:tcPr>
          <w:p>
            <w:pPr>
              <w:autoSpaceDE w:val="0"/>
              <w:spacing w:line="360" w:lineRule="auto"/>
              <w:jc w:val="center"/>
              <w:rPr>
                <w:rFonts w:hint="eastAsia" w:ascii="宋体" w:hAnsi="宋体"/>
                <w:kern w:val="0"/>
                <w:sz w:val="20"/>
                <w:szCs w:val="20"/>
                <w:lang w:val="en-US" w:eastAsia="zh-CN"/>
              </w:rPr>
            </w:pPr>
            <w:r>
              <w:rPr>
                <w:rFonts w:hint="eastAsia" w:ascii="宋体" w:hAnsi="宋体"/>
                <w:kern w:val="0"/>
                <w:sz w:val="20"/>
                <w:szCs w:val="20"/>
                <w:lang w:val="en-US" w:eastAsia="zh-CN"/>
              </w:rPr>
              <w:t>价格分</w:t>
            </w:r>
          </w:p>
          <w:p>
            <w:pPr>
              <w:autoSpaceDE w:val="0"/>
              <w:spacing w:line="360" w:lineRule="auto"/>
              <w:jc w:val="center"/>
              <w:rPr>
                <w:rFonts w:hint="eastAsia" w:ascii="宋体" w:hAnsi="宋体"/>
                <w:b/>
                <w:bCs/>
                <w:kern w:val="0"/>
                <w:sz w:val="20"/>
                <w:szCs w:val="20"/>
                <w:lang w:val="en-US" w:eastAsia="zh-CN"/>
              </w:rPr>
            </w:pPr>
            <w:r>
              <w:rPr>
                <w:rFonts w:hint="eastAsia" w:ascii="宋体" w:hAnsi="宋体"/>
                <w:kern w:val="0"/>
                <w:sz w:val="20"/>
                <w:szCs w:val="20"/>
                <w:lang w:val="en-US" w:eastAsia="zh-CN"/>
              </w:rPr>
              <w:t>（30分）</w:t>
            </w:r>
          </w:p>
        </w:tc>
        <w:tc>
          <w:tcPr>
            <w:tcW w:w="6388" w:type="dxa"/>
            <w:gridSpan w:val="2"/>
            <w:tcBorders>
              <w:top w:val="single" w:color="auto" w:sz="4" w:space="0"/>
              <w:left w:val="single" w:color="auto" w:sz="4" w:space="0"/>
              <w:bottom w:val="single" w:color="auto" w:sz="4" w:space="0"/>
              <w:right w:val="single" w:color="auto" w:sz="4" w:space="0"/>
            </w:tcBorders>
            <w:noWrap w:val="0"/>
            <w:vAlign w:val="center"/>
          </w:tcPr>
          <w:p>
            <w:pPr>
              <w:widowControl/>
              <w:autoSpaceDE w:val="0"/>
              <w:spacing w:line="360" w:lineRule="auto"/>
              <w:jc w:val="left"/>
              <w:rPr>
                <w:rFonts w:hint="eastAsia" w:hAnsi="宋体"/>
                <w:kern w:val="0"/>
                <w:sz w:val="20"/>
                <w:szCs w:val="20"/>
                <w:lang w:val="en-US" w:eastAsia="zh-CN"/>
              </w:rPr>
            </w:pPr>
            <w:r>
              <w:rPr>
                <w:rFonts w:hint="eastAsia" w:hAnsi="宋体"/>
                <w:kern w:val="0"/>
                <w:sz w:val="20"/>
                <w:szCs w:val="20"/>
                <w:lang w:val="en-US" w:eastAsia="zh-CN"/>
              </w:rPr>
              <w:t>价格为评标基准价，其价格分为满分30分。其他投标供应商的价格分统一按照下列公式计算：</w:t>
            </w:r>
          </w:p>
          <w:p>
            <w:pPr>
              <w:widowControl/>
              <w:autoSpaceDE w:val="0"/>
              <w:spacing w:line="360" w:lineRule="auto"/>
              <w:jc w:val="left"/>
              <w:rPr>
                <w:rFonts w:hint="default" w:hAnsi="宋体"/>
                <w:kern w:val="0"/>
                <w:sz w:val="20"/>
                <w:szCs w:val="20"/>
                <w:lang w:val="en-US" w:eastAsia="zh-CN"/>
              </w:rPr>
            </w:pPr>
            <w:r>
              <w:rPr>
                <w:rFonts w:hint="eastAsia" w:hAnsi="宋体"/>
                <w:kern w:val="0"/>
                <w:sz w:val="20"/>
                <w:szCs w:val="20"/>
                <w:lang w:val="en-US" w:eastAsia="zh-CN"/>
              </w:rPr>
              <w:t>投标报价得分=（评标基准价/投标报价）*30%*100</w:t>
            </w:r>
          </w:p>
        </w:tc>
        <w:tc>
          <w:tcPr>
            <w:tcW w:w="1269" w:type="dxa"/>
            <w:tcBorders>
              <w:top w:val="single" w:color="auto" w:sz="4" w:space="0"/>
              <w:left w:val="nil"/>
              <w:bottom w:val="single" w:color="auto" w:sz="4" w:space="0"/>
              <w:right w:val="single" w:color="auto" w:sz="4" w:space="0"/>
            </w:tcBorders>
            <w:noWrap w:val="0"/>
            <w:vAlign w:val="center"/>
          </w:tcPr>
          <w:p>
            <w:pPr>
              <w:autoSpaceDE w:val="0"/>
              <w:spacing w:line="360" w:lineRule="auto"/>
              <w:jc w:val="center"/>
              <w:rPr>
                <w:rFonts w:hint="default" w:ascii="宋体" w:hAnsi="宋体" w:eastAsia="宋体"/>
                <w:kern w:val="0"/>
                <w:sz w:val="20"/>
                <w:szCs w:val="20"/>
                <w:lang w:val="en-US" w:eastAsia="zh-CN"/>
              </w:rPr>
            </w:pPr>
            <w:r>
              <w:rPr>
                <w:rFonts w:hint="eastAsia" w:ascii="宋体" w:hAnsi="宋体"/>
                <w:kern w:val="0"/>
                <w:sz w:val="20"/>
                <w:szCs w:val="20"/>
                <w:lang w:val="en-US" w:eastAsia="zh-CN"/>
              </w:rPr>
              <w:t>0-30分</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094"/>
    <w:rsid w:val="00541094"/>
    <w:rsid w:val="005C4488"/>
    <w:rsid w:val="00662650"/>
    <w:rsid w:val="006E059A"/>
    <w:rsid w:val="009F2754"/>
    <w:rsid w:val="00E6647D"/>
    <w:rsid w:val="00F11FC6"/>
    <w:rsid w:val="097305B2"/>
    <w:rsid w:val="0C4F692A"/>
    <w:rsid w:val="255E4F0C"/>
    <w:rsid w:val="255E6837"/>
    <w:rsid w:val="785108C9"/>
    <w:rsid w:val="7E2D75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0"/>
      <w:sz w:val="21"/>
      <w:szCs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171</Words>
  <Characters>977</Characters>
  <Lines>8</Lines>
  <Paragraphs>2</Paragraphs>
  <TotalTime>2</TotalTime>
  <ScaleCrop>false</ScaleCrop>
  <LinksUpToDate>false</LinksUpToDate>
  <CharactersWithSpaces>1146</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2018-12-11T08:29:00Z</dcterms:created>
  <dc:creator>lenovo</dc:creator>
  <cp:lastModifiedBy>不愧于心</cp:lastModifiedBy>
  <dcterms:modified xsi:type="dcterms:W3CDTF">2019-04-23T07:27:40Z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