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numPr>
          <w:ilvl w:val="0"/>
          <w:numId w:val="1"/>
        </w:numPr>
        <w:spacing w:line="400" w:lineRule="exact"/>
        <w:ind w:right="480" w:firstLineChars="0"/>
        <w:jc w:val="left"/>
        <w:rPr>
          <w:rFonts w:ascii="仿宋_GB2312" w:hAnsi="Tahoma" w:eastAsia="仿宋_GB2312" w:cs="Tahoma"/>
          <w:color w:val="000000"/>
          <w:kern w:val="0"/>
          <w:sz w:val="24"/>
          <w:szCs w:val="24"/>
        </w:rPr>
      </w:pPr>
      <w:r>
        <w:rPr>
          <w:rFonts w:hint="eastAsia" w:ascii="仿宋_GB2312" w:hAnsi="Tahoma" w:eastAsia="仿宋_GB2312" w:cs="Tahoma"/>
          <w:color w:val="000000"/>
          <w:kern w:val="0"/>
          <w:sz w:val="24"/>
          <w:szCs w:val="24"/>
        </w:rPr>
        <w:t>商务要求：</w:t>
      </w:r>
      <w:r>
        <w:rPr>
          <w:rFonts w:ascii="仿宋_GB2312" w:hAnsi="Tahoma" w:eastAsia="仿宋_GB2312" w:cs="Tahoma"/>
          <w:color w:val="000000"/>
          <w:kern w:val="0"/>
          <w:sz w:val="24"/>
          <w:szCs w:val="24"/>
        </w:rPr>
        <w:t xml:space="preserve"> </w:t>
      </w:r>
    </w:p>
    <w:p>
      <w:pPr>
        <w:spacing w:line="400" w:lineRule="exact"/>
        <w:ind w:right="480"/>
        <w:rPr>
          <w:rFonts w:ascii="仿宋_GB2312" w:hAnsi="Tahoma" w:eastAsia="仿宋_GB2312" w:cs="Tahoma"/>
          <w:color w:val="000000"/>
          <w:kern w:val="0"/>
          <w:sz w:val="24"/>
          <w:szCs w:val="24"/>
        </w:rPr>
      </w:pPr>
      <w:r>
        <w:rPr>
          <w:rFonts w:hint="eastAsia" w:ascii="仿宋_GB2312" w:hAnsi="Tahoma" w:eastAsia="仿宋_GB2312" w:cs="Tahoma"/>
          <w:color w:val="000000"/>
          <w:kern w:val="0"/>
          <w:sz w:val="24"/>
          <w:szCs w:val="24"/>
          <w:lang w:val="en-US" w:eastAsia="zh-CN"/>
        </w:rPr>
        <w:t>1</w:t>
      </w:r>
      <w:r>
        <w:rPr>
          <w:rFonts w:hint="eastAsia" w:ascii="仿宋_GB2312" w:hAnsi="Tahoma" w:eastAsia="仿宋_GB2312" w:cs="Tahoma"/>
          <w:color w:val="000000"/>
          <w:kern w:val="0"/>
          <w:sz w:val="24"/>
          <w:szCs w:val="24"/>
        </w:rPr>
        <w:t>、提供产品必须可同时满足2-80组，400人同时竞赛；</w:t>
      </w:r>
    </w:p>
    <w:p>
      <w:pPr>
        <w:spacing w:line="400" w:lineRule="exact"/>
        <w:ind w:right="480"/>
        <w:rPr>
          <w:rFonts w:ascii="仿宋_GB2312" w:hAnsi="Tahoma" w:eastAsia="仿宋_GB2312" w:cs="Tahoma"/>
          <w:color w:val="000000"/>
          <w:kern w:val="0"/>
          <w:sz w:val="24"/>
          <w:szCs w:val="24"/>
        </w:rPr>
      </w:pPr>
      <w:r>
        <w:rPr>
          <w:rFonts w:hint="eastAsia" w:ascii="仿宋_GB2312" w:hAnsi="Tahoma" w:eastAsia="仿宋_GB2312" w:cs="Tahoma"/>
          <w:color w:val="000000"/>
          <w:kern w:val="0"/>
          <w:sz w:val="24"/>
          <w:szCs w:val="24"/>
          <w:lang w:val="en-US" w:eastAsia="zh-CN"/>
        </w:rPr>
        <w:t>2</w:t>
      </w:r>
      <w:r>
        <w:rPr>
          <w:rFonts w:hint="eastAsia" w:ascii="仿宋_GB2312" w:hAnsi="Tahoma" w:eastAsia="仿宋_GB2312" w:cs="Tahoma"/>
          <w:color w:val="000000"/>
          <w:kern w:val="0"/>
          <w:sz w:val="24"/>
          <w:szCs w:val="24"/>
        </w:rPr>
        <w:t>、投标商</w:t>
      </w:r>
      <w:r>
        <w:rPr>
          <w:rFonts w:hint="eastAsia" w:ascii="仿宋_GB2312" w:hAnsi="Tahoma" w:eastAsia="仿宋_GB2312" w:cs="Tahoma"/>
          <w:color w:val="000000"/>
          <w:kern w:val="0"/>
          <w:sz w:val="24"/>
          <w:szCs w:val="24"/>
          <w:lang w:val="en-US" w:eastAsia="zh-CN"/>
        </w:rPr>
        <w:t>可</w:t>
      </w:r>
      <w:r>
        <w:rPr>
          <w:rFonts w:hint="eastAsia" w:ascii="仿宋_GB2312" w:hAnsi="Tahoma" w:eastAsia="仿宋_GB2312" w:cs="Tahoma"/>
          <w:color w:val="000000"/>
          <w:kern w:val="0"/>
          <w:sz w:val="24"/>
          <w:szCs w:val="24"/>
        </w:rPr>
        <w:t>提供产品制造商售后服务承诺书。</w:t>
      </w:r>
    </w:p>
    <w:p>
      <w:pPr>
        <w:spacing w:line="400" w:lineRule="exact"/>
        <w:ind w:right="480"/>
        <w:rPr>
          <w:rFonts w:hint="eastAsia" w:ascii="仿宋_GB2312" w:hAnsi="Tahoma" w:eastAsia="仿宋_GB2312" w:cs="Tahoma"/>
          <w:color w:val="000000"/>
          <w:kern w:val="0"/>
          <w:sz w:val="24"/>
          <w:szCs w:val="24"/>
        </w:rPr>
      </w:pPr>
      <w:r>
        <w:rPr>
          <w:rFonts w:hint="eastAsia" w:ascii="仿宋_GB2312" w:hAnsi="Tahoma" w:eastAsia="仿宋_GB2312" w:cs="Tahoma"/>
          <w:color w:val="000000"/>
          <w:kern w:val="0"/>
          <w:sz w:val="24"/>
          <w:szCs w:val="24"/>
          <w:lang w:val="en-US" w:eastAsia="zh-CN"/>
        </w:rPr>
        <w:t>3</w:t>
      </w:r>
      <w:r>
        <w:rPr>
          <w:rFonts w:hint="eastAsia" w:ascii="仿宋_GB2312" w:hAnsi="Tahoma" w:eastAsia="仿宋_GB2312" w:cs="Tahoma"/>
          <w:color w:val="000000"/>
          <w:kern w:val="0"/>
          <w:sz w:val="24"/>
          <w:szCs w:val="24"/>
        </w:rPr>
        <w:t>、投标商</w:t>
      </w:r>
      <w:r>
        <w:rPr>
          <w:rFonts w:hint="eastAsia" w:ascii="仿宋_GB2312" w:hAnsi="Tahoma" w:eastAsia="仿宋_GB2312" w:cs="Tahoma"/>
          <w:color w:val="000000"/>
          <w:kern w:val="0"/>
          <w:sz w:val="24"/>
          <w:szCs w:val="24"/>
          <w:lang w:val="en-US" w:eastAsia="zh-CN"/>
        </w:rPr>
        <w:t>可</w:t>
      </w:r>
      <w:r>
        <w:rPr>
          <w:rFonts w:hint="eastAsia" w:ascii="仿宋_GB2312" w:hAnsi="Tahoma" w:eastAsia="仿宋_GB2312" w:cs="Tahoma"/>
          <w:color w:val="000000"/>
          <w:kern w:val="0"/>
          <w:sz w:val="24"/>
          <w:szCs w:val="24"/>
        </w:rPr>
        <w:t>提供厂商项目授权书；</w:t>
      </w:r>
    </w:p>
    <w:p>
      <w:pPr>
        <w:spacing w:line="400" w:lineRule="exact"/>
        <w:ind w:right="480"/>
        <w:rPr>
          <w:rFonts w:hint="eastAsia" w:ascii="仿宋_GB2312" w:hAnsi="Tahoma" w:eastAsia="仿宋_GB2312" w:cs="Tahoma"/>
          <w:color w:val="000000"/>
          <w:kern w:val="0"/>
          <w:sz w:val="24"/>
          <w:szCs w:val="24"/>
          <w:lang w:val="en-US" w:eastAsia="zh-CN"/>
        </w:rPr>
      </w:pPr>
      <w:r>
        <w:rPr>
          <w:rFonts w:hint="eastAsia" w:ascii="宋体" w:hAnsi="宋体"/>
          <w:kern w:val="0"/>
          <w:sz w:val="20"/>
          <w:szCs w:val="20"/>
        </w:rPr>
        <w:t>★</w:t>
      </w:r>
      <w:r>
        <w:rPr>
          <w:rFonts w:hint="eastAsia" w:ascii="仿宋_GB2312" w:hAnsi="Tahoma" w:eastAsia="仿宋_GB2312" w:cs="Tahoma"/>
          <w:color w:val="000000"/>
          <w:kern w:val="0"/>
          <w:sz w:val="24"/>
          <w:szCs w:val="24"/>
          <w:lang w:val="en-US" w:eastAsia="zh-CN"/>
        </w:rPr>
        <w:t>4、应标厂商一旦中标后，需根据校方要求至校方进行产品演示，确实符合校方需求后，方可签订合同进行产品供货安装。</w:t>
      </w:r>
    </w:p>
    <w:p>
      <w:pPr>
        <w:spacing w:line="400" w:lineRule="exact"/>
        <w:ind w:right="480"/>
        <w:rPr>
          <w:rFonts w:hint="default" w:ascii="仿宋_GB2312" w:hAnsi="Tahoma" w:eastAsia="仿宋_GB2312" w:cs="Tahoma"/>
          <w:color w:val="000000"/>
          <w:kern w:val="0"/>
          <w:sz w:val="24"/>
          <w:szCs w:val="24"/>
          <w:lang w:val="en-US" w:eastAsia="zh-CN"/>
        </w:rPr>
      </w:pPr>
      <w:bookmarkStart w:id="0" w:name="_GoBack"/>
      <w:bookmarkEnd w:id="0"/>
    </w:p>
    <w:p>
      <w:pPr>
        <w:spacing w:line="400" w:lineRule="exact"/>
        <w:ind w:right="480"/>
        <w:jc w:val="left"/>
        <w:rPr>
          <w:rFonts w:ascii="仿宋_GB2312" w:hAnsi="Tahoma" w:eastAsia="仿宋_GB2312" w:cs="Tahoma"/>
          <w:color w:val="000000"/>
          <w:kern w:val="0"/>
          <w:sz w:val="24"/>
          <w:szCs w:val="24"/>
        </w:rPr>
      </w:pPr>
      <w:r>
        <w:rPr>
          <w:rFonts w:hint="eastAsia" w:ascii="仿宋_GB2312" w:hAnsi="Tahoma" w:eastAsia="仿宋_GB2312" w:cs="Tahoma"/>
          <w:color w:val="000000"/>
          <w:kern w:val="0"/>
          <w:sz w:val="24"/>
          <w:szCs w:val="24"/>
        </w:rPr>
        <w:t>二、功能参数</w:t>
      </w:r>
    </w:p>
    <w:p>
      <w:pPr>
        <w:spacing w:line="360" w:lineRule="auto"/>
        <w:ind w:firstLine="480" w:firstLineChars="200"/>
        <w:rPr>
          <w:rFonts w:ascii="仿宋_GB2312" w:hAnsi="Tahoma" w:eastAsia="仿宋_GB2312" w:cs="Tahoma"/>
          <w:color w:val="000000"/>
          <w:kern w:val="0"/>
          <w:sz w:val="24"/>
          <w:szCs w:val="24"/>
        </w:rPr>
      </w:pPr>
      <w:r>
        <w:rPr>
          <w:rFonts w:hint="eastAsia" w:ascii="仿宋_GB2312" w:hAnsi="Tahoma" w:eastAsia="仿宋_GB2312" w:cs="Tahoma"/>
          <w:color w:val="000000"/>
          <w:kern w:val="0"/>
          <w:sz w:val="24"/>
          <w:szCs w:val="24"/>
        </w:rPr>
        <w:t>（一）企业经营模拟系统的主要目的是监控实物沙盘的运作，能对手工实物沙盘经营模拟进行数据采集、流程控制、经营结果分析等，从而大大降低教师授课的复杂度，减轻教师的监管工作量。其后台要求：（1）有多种经营模拟参数供教师授课选择；（2）客户端每完成一年的流程后服务器端可以自动生成报表（包括管理费用表、利润表、资产负债表），并且报表可以生成Excel文件；</w:t>
      </w:r>
      <w:r>
        <w:rPr>
          <w:rFonts w:hint="eastAsia" w:ascii="宋体" w:hAnsi="宋体"/>
          <w:kern w:val="0"/>
          <w:sz w:val="20"/>
          <w:szCs w:val="20"/>
        </w:rPr>
        <w:t>★</w:t>
      </w:r>
      <w:r>
        <w:rPr>
          <w:rFonts w:hint="eastAsia" w:ascii="仿宋_GB2312" w:hAnsi="Tahoma" w:eastAsia="仿宋_GB2312" w:cs="Tahoma"/>
          <w:color w:val="000000"/>
          <w:kern w:val="0"/>
          <w:sz w:val="24"/>
          <w:szCs w:val="24"/>
        </w:rPr>
        <w:t>（3）能够记录客户端的操作轨迹，便于事后分析；</w:t>
      </w:r>
      <w:r>
        <w:rPr>
          <w:rFonts w:hint="eastAsia" w:ascii="宋体" w:hAnsi="宋体"/>
          <w:kern w:val="0"/>
          <w:sz w:val="20"/>
          <w:szCs w:val="20"/>
        </w:rPr>
        <w:t>★</w:t>
      </w:r>
      <w:r>
        <w:rPr>
          <w:rFonts w:hint="eastAsia" w:ascii="仿宋_GB2312" w:hAnsi="Tahoma" w:eastAsia="仿宋_GB2312" w:cs="Tahoma"/>
          <w:color w:val="000000"/>
          <w:kern w:val="0"/>
          <w:sz w:val="24"/>
          <w:szCs w:val="24"/>
        </w:rPr>
        <w:t>（4）可以实现组间交易；*（5）包含间谍功能（可将各客户端的经营情况生成Excel文件）；</w:t>
      </w:r>
      <w:r>
        <w:rPr>
          <w:rFonts w:hint="eastAsia" w:ascii="宋体" w:hAnsi="宋体"/>
          <w:kern w:val="0"/>
          <w:sz w:val="20"/>
          <w:szCs w:val="20"/>
        </w:rPr>
        <w:t>★</w:t>
      </w:r>
      <w:r>
        <w:rPr>
          <w:rFonts w:hint="eastAsia" w:ascii="仿宋_GB2312" w:hAnsi="Tahoma" w:eastAsia="仿宋_GB2312" w:cs="Tahoma"/>
          <w:color w:val="000000"/>
          <w:kern w:val="0"/>
          <w:sz w:val="24"/>
          <w:szCs w:val="24"/>
        </w:rPr>
        <w:t>（6）可以实现竞拍功能。（7）建立教学班：学校可以根据不同教学需求建立不同的教学班。（8</w:t>
      </w:r>
      <w:r>
        <w:rPr>
          <w:rFonts w:ascii="仿宋_GB2312" w:hAnsi="Tahoma" w:eastAsia="仿宋_GB2312" w:cs="Tahoma"/>
          <w:color w:val="000000"/>
          <w:kern w:val="0"/>
          <w:sz w:val="24"/>
          <w:szCs w:val="24"/>
        </w:rPr>
        <w:t>）</w:t>
      </w:r>
      <w:r>
        <w:rPr>
          <w:rFonts w:hint="eastAsia" w:ascii="仿宋_GB2312" w:hAnsi="Tahoma" w:eastAsia="仿宋_GB2312" w:cs="Tahoma"/>
          <w:color w:val="000000"/>
          <w:kern w:val="0"/>
          <w:sz w:val="24"/>
          <w:szCs w:val="24"/>
        </w:rPr>
        <w:t>教师管理：可增加并修改授课教师信息。（9）权限管理： 可对已经添加的教师赋予相应教学班的授课权限，一个老师可以对应多个教学班，一个教学班也可以对应多个教师。</w:t>
      </w:r>
    </w:p>
    <w:p>
      <w:pPr>
        <w:spacing w:line="360" w:lineRule="auto"/>
        <w:ind w:firstLine="480" w:firstLineChars="200"/>
        <w:rPr>
          <w:rFonts w:ascii="仿宋_GB2312" w:hAnsi="Tahoma" w:eastAsia="仿宋_GB2312" w:cs="Tahoma"/>
          <w:color w:val="000000"/>
          <w:kern w:val="0"/>
          <w:sz w:val="24"/>
          <w:szCs w:val="24"/>
        </w:rPr>
      </w:pPr>
      <w:r>
        <w:rPr>
          <w:rFonts w:hint="eastAsia"/>
          <w:sz w:val="24"/>
        </w:rPr>
        <w:t>（二）</w:t>
      </w:r>
      <w:r>
        <w:rPr>
          <w:rFonts w:hint="eastAsia" w:ascii="仿宋_GB2312" w:hAnsi="Tahoma" w:eastAsia="仿宋_GB2312" w:cs="Tahoma"/>
          <w:color w:val="000000"/>
          <w:kern w:val="0"/>
          <w:sz w:val="24"/>
          <w:szCs w:val="24"/>
        </w:rPr>
        <w:t>必须提供完整的教学课件包，包括教师手册、学生手册、教师用PPT、电子沙盘使用说明等。</w:t>
      </w:r>
    </w:p>
    <w:p>
      <w:pPr>
        <w:numPr>
          <w:ilvl w:val="1"/>
          <w:numId w:val="2"/>
        </w:numPr>
        <w:spacing w:line="360" w:lineRule="auto"/>
        <w:rPr>
          <w:rFonts w:ascii="仿宋_GB2312" w:hAnsi="Tahoma" w:eastAsia="仿宋_GB2312" w:cs="Tahoma"/>
          <w:color w:val="000000"/>
          <w:kern w:val="0"/>
          <w:sz w:val="24"/>
          <w:szCs w:val="24"/>
        </w:rPr>
      </w:pPr>
      <w:r>
        <w:rPr>
          <w:rFonts w:hint="eastAsia" w:ascii="仿宋_GB2312" w:hAnsi="Tahoma" w:eastAsia="仿宋_GB2312" w:cs="Tahoma"/>
          <w:color w:val="000000"/>
          <w:kern w:val="0"/>
          <w:sz w:val="24"/>
          <w:szCs w:val="24"/>
        </w:rPr>
        <w:t>有出版的配套沙盘教材。</w:t>
      </w:r>
    </w:p>
    <w:p>
      <w:pPr>
        <w:numPr>
          <w:ilvl w:val="1"/>
          <w:numId w:val="2"/>
        </w:numPr>
        <w:spacing w:line="360" w:lineRule="auto"/>
        <w:rPr>
          <w:rFonts w:ascii="仿宋_GB2312" w:hAnsi="Tahoma" w:eastAsia="仿宋_GB2312" w:cs="Tahoma"/>
          <w:color w:val="000000"/>
          <w:kern w:val="0"/>
          <w:sz w:val="24"/>
          <w:szCs w:val="24"/>
        </w:rPr>
      </w:pPr>
      <w:r>
        <w:rPr>
          <w:rFonts w:hint="eastAsia" w:ascii="仿宋_GB2312" w:hAnsi="Tahoma" w:eastAsia="仿宋_GB2312" w:cs="Tahoma"/>
          <w:color w:val="000000"/>
          <w:kern w:val="0"/>
          <w:sz w:val="24"/>
          <w:szCs w:val="24"/>
        </w:rPr>
        <w:t>提供完整电子沙盘接合的整体训练和信息化专项训练的课程训练方案，有完整的教学大纲及授课资料。</w:t>
      </w:r>
    </w:p>
    <w:p>
      <w:pPr>
        <w:numPr>
          <w:ilvl w:val="1"/>
          <w:numId w:val="2"/>
        </w:numPr>
        <w:spacing w:line="360" w:lineRule="auto"/>
        <w:rPr>
          <w:rFonts w:ascii="仿宋_GB2312" w:hAnsi="Tahoma" w:eastAsia="仿宋_GB2312" w:cs="Tahoma"/>
          <w:color w:val="000000"/>
          <w:kern w:val="0"/>
          <w:sz w:val="24"/>
          <w:szCs w:val="24"/>
        </w:rPr>
      </w:pPr>
      <w:r>
        <w:rPr>
          <w:rFonts w:hint="eastAsia" w:ascii="宋体" w:hAnsi="宋体"/>
          <w:kern w:val="0"/>
          <w:sz w:val="20"/>
          <w:szCs w:val="20"/>
        </w:rPr>
        <w:t>★</w:t>
      </w:r>
      <w:r>
        <w:rPr>
          <w:rFonts w:hint="eastAsia" w:ascii="仿宋_GB2312" w:hAnsi="Tahoma" w:eastAsia="仿宋_GB2312" w:cs="Tahoma"/>
          <w:color w:val="000000"/>
          <w:kern w:val="0"/>
          <w:sz w:val="24"/>
          <w:szCs w:val="24"/>
        </w:rPr>
        <w:t>可以根据授课教师要求自行设定经营规则、编写订单。</w:t>
      </w:r>
    </w:p>
    <w:p>
      <w:pPr>
        <w:numPr>
          <w:ilvl w:val="1"/>
          <w:numId w:val="2"/>
        </w:numPr>
        <w:spacing w:line="360" w:lineRule="auto"/>
        <w:rPr>
          <w:rFonts w:ascii="仿宋_GB2312" w:hAnsi="Tahoma" w:eastAsia="仿宋_GB2312" w:cs="Tahoma"/>
          <w:color w:val="000000"/>
          <w:kern w:val="0"/>
          <w:sz w:val="24"/>
          <w:szCs w:val="24"/>
        </w:rPr>
      </w:pPr>
      <w:r>
        <w:rPr>
          <w:rFonts w:hint="eastAsia" w:ascii="仿宋_GB2312" w:hAnsi="Tahoma" w:eastAsia="仿宋_GB2312" w:cs="Tahoma"/>
          <w:color w:val="000000"/>
          <w:kern w:val="0"/>
          <w:sz w:val="24"/>
          <w:szCs w:val="24"/>
        </w:rPr>
        <w:t>可以结合企业经营管理沙盘（即手工沙盘）使用，也可单独使用。</w:t>
      </w:r>
    </w:p>
    <w:p>
      <w:pPr>
        <w:pStyle w:val="6"/>
        <w:spacing w:line="400" w:lineRule="exact"/>
        <w:ind w:left="420" w:right="480" w:firstLine="0" w:firstLineChars="0"/>
        <w:jc w:val="left"/>
        <w:rPr>
          <w:rFonts w:ascii="仿宋_GB2312" w:hAnsi="Tahoma" w:eastAsia="仿宋_GB2312" w:cs="Tahoma"/>
          <w:color w:val="000000"/>
          <w:kern w:val="0"/>
          <w:sz w:val="24"/>
          <w:szCs w:val="24"/>
        </w:rPr>
      </w:pPr>
      <w:r>
        <w:rPr>
          <w:rFonts w:hint="eastAsia" w:ascii="仿宋_GB2312" w:hAnsi="Tahoma" w:eastAsia="仿宋_GB2312" w:cs="Tahoma"/>
          <w:color w:val="000000"/>
          <w:kern w:val="0"/>
          <w:sz w:val="24"/>
          <w:szCs w:val="24"/>
        </w:rPr>
        <w:t>三、技术参数</w:t>
      </w:r>
      <w:r>
        <w:rPr>
          <w:rFonts w:hint="eastAsia" w:ascii="仿宋_GB2312" w:hAnsi="Tahoma" w:eastAsia="仿宋_GB2312" w:cs="Tahoma"/>
          <w:color w:val="000000"/>
          <w:kern w:val="0"/>
          <w:sz w:val="24"/>
          <w:szCs w:val="24"/>
        </w:rPr>
        <w:tab/>
      </w:r>
      <w:r>
        <w:rPr>
          <w:rFonts w:hint="eastAsia" w:ascii="仿宋_GB2312" w:hAnsi="Tahoma" w:eastAsia="仿宋_GB2312" w:cs="Tahoma"/>
          <w:color w:val="000000"/>
          <w:kern w:val="0"/>
          <w:sz w:val="24"/>
          <w:szCs w:val="24"/>
        </w:rPr>
        <w:tab/>
      </w:r>
    </w:p>
    <w:p>
      <w:pPr>
        <w:spacing w:line="360" w:lineRule="auto"/>
        <w:ind w:firstLine="400" w:firstLineChars="200"/>
        <w:rPr>
          <w:rFonts w:ascii="仿宋_GB2312" w:hAnsi="Tahoma" w:eastAsia="仿宋_GB2312" w:cs="Tahoma"/>
          <w:color w:val="000000"/>
          <w:kern w:val="0"/>
          <w:sz w:val="24"/>
          <w:szCs w:val="24"/>
        </w:rPr>
      </w:pPr>
      <w:r>
        <w:rPr>
          <w:rFonts w:hint="eastAsia" w:ascii="宋体" w:hAnsi="宋体"/>
          <w:kern w:val="0"/>
          <w:sz w:val="20"/>
          <w:szCs w:val="20"/>
        </w:rPr>
        <w:t>★</w:t>
      </w:r>
      <w:r>
        <w:rPr>
          <w:rFonts w:hint="eastAsia" w:ascii="仿宋_GB2312" w:hAnsi="Tahoma" w:eastAsia="仿宋_GB2312" w:cs="Tahoma"/>
          <w:color w:val="000000"/>
          <w:kern w:val="0"/>
          <w:sz w:val="24"/>
          <w:szCs w:val="24"/>
        </w:rPr>
        <w:t>1、企业经营模拟系统采用B/S模式，在服务器端装上软件及加密狗后客户端能够通过WEB方式进行直接访问操作。</w:t>
      </w:r>
    </w:p>
    <w:p>
      <w:pPr>
        <w:spacing w:line="360" w:lineRule="auto"/>
        <w:ind w:firstLine="400" w:firstLineChars="200"/>
        <w:rPr>
          <w:rFonts w:ascii="仿宋_GB2312" w:hAnsi="Tahoma" w:eastAsia="仿宋_GB2312" w:cs="Tahoma"/>
          <w:color w:val="000000"/>
          <w:kern w:val="0"/>
          <w:sz w:val="24"/>
          <w:szCs w:val="24"/>
        </w:rPr>
      </w:pPr>
      <w:r>
        <w:rPr>
          <w:rFonts w:hint="eastAsia" w:ascii="宋体" w:hAnsi="宋体"/>
          <w:kern w:val="0"/>
          <w:sz w:val="20"/>
          <w:szCs w:val="20"/>
        </w:rPr>
        <w:t>★</w:t>
      </w:r>
      <w:r>
        <w:rPr>
          <w:rFonts w:hint="eastAsia" w:ascii="仿宋_GB2312" w:hAnsi="Tahoma" w:eastAsia="仿宋_GB2312" w:cs="Tahoma"/>
          <w:color w:val="000000"/>
          <w:kern w:val="0"/>
          <w:sz w:val="24"/>
          <w:szCs w:val="24"/>
        </w:rPr>
        <w:t>2、企业经营模拟系统可以支持不同组别（2—80组）的模拟经营，也可以根据学校要求订制经营组数及订单以满足学校教学及举行校内比赛的需要。</w:t>
      </w:r>
    </w:p>
    <w:p>
      <w:pPr>
        <w:spacing w:line="360" w:lineRule="auto"/>
        <w:ind w:firstLine="400" w:firstLineChars="200"/>
        <w:rPr>
          <w:rFonts w:ascii="仿宋_GB2312" w:hAnsi="Tahoma" w:eastAsia="仿宋_GB2312" w:cs="Tahoma"/>
          <w:color w:val="000000"/>
          <w:kern w:val="0"/>
          <w:sz w:val="24"/>
          <w:szCs w:val="24"/>
        </w:rPr>
      </w:pPr>
      <w:r>
        <w:rPr>
          <w:rFonts w:hint="eastAsia" w:ascii="宋体" w:hAnsi="宋体"/>
          <w:kern w:val="0"/>
          <w:sz w:val="20"/>
          <w:szCs w:val="20"/>
        </w:rPr>
        <w:t>★</w:t>
      </w:r>
      <w:r>
        <w:rPr>
          <w:rFonts w:hint="eastAsia" w:ascii="仿宋_GB2312" w:hAnsi="Tahoma" w:eastAsia="仿宋_GB2312" w:cs="Tahoma"/>
          <w:color w:val="000000"/>
          <w:kern w:val="0"/>
          <w:sz w:val="24"/>
          <w:szCs w:val="24"/>
        </w:rPr>
        <w:t>3、无需安装SQL数据库及数据库补丁。</w:t>
      </w:r>
    </w:p>
    <w:p>
      <w:pPr>
        <w:spacing w:line="360" w:lineRule="auto"/>
        <w:ind w:firstLine="400" w:firstLineChars="200"/>
        <w:rPr>
          <w:rFonts w:ascii="仿宋_GB2312" w:hAnsi="Tahoma" w:eastAsia="仿宋_GB2312" w:cs="Tahoma"/>
          <w:color w:val="000000"/>
          <w:kern w:val="0"/>
          <w:sz w:val="24"/>
          <w:szCs w:val="24"/>
        </w:rPr>
      </w:pPr>
      <w:r>
        <w:rPr>
          <w:rFonts w:hint="eastAsia" w:ascii="宋体" w:hAnsi="宋体"/>
          <w:kern w:val="0"/>
          <w:sz w:val="20"/>
          <w:szCs w:val="20"/>
        </w:rPr>
        <w:t>★</w:t>
      </w:r>
      <w:r>
        <w:rPr>
          <w:rFonts w:hint="eastAsia" w:ascii="仿宋_GB2312" w:hAnsi="Tahoma" w:eastAsia="仿宋_GB2312" w:cs="Tahoma"/>
          <w:color w:val="000000"/>
          <w:kern w:val="0"/>
          <w:sz w:val="24"/>
          <w:szCs w:val="24"/>
        </w:rPr>
        <w:t>4、订单、规则自由配置，所有数据规则均可以自行定义修改，包括：产品、原料、认证、市场、税率、厂房、生产线、产成品、订单需求、订单规则等等。</w:t>
      </w:r>
    </w:p>
    <w:p>
      <w:pPr>
        <w:spacing w:line="360" w:lineRule="auto"/>
        <w:ind w:firstLine="400" w:firstLineChars="200"/>
        <w:rPr>
          <w:rFonts w:ascii="仿宋_GB2312" w:hAnsi="Tahoma" w:eastAsia="仿宋_GB2312" w:cs="Tahoma"/>
          <w:color w:val="000000"/>
          <w:kern w:val="0"/>
          <w:sz w:val="24"/>
          <w:szCs w:val="24"/>
        </w:rPr>
      </w:pPr>
      <w:r>
        <w:rPr>
          <w:rFonts w:hint="eastAsia" w:ascii="宋体" w:hAnsi="宋体"/>
          <w:kern w:val="0"/>
          <w:sz w:val="20"/>
          <w:szCs w:val="20"/>
        </w:rPr>
        <w:t>★</w:t>
      </w:r>
      <w:r>
        <w:rPr>
          <w:rFonts w:hint="eastAsia" w:ascii="仿宋_GB2312" w:hAnsi="Tahoma" w:eastAsia="仿宋_GB2312" w:cs="Tahoma"/>
          <w:color w:val="000000"/>
          <w:kern w:val="0"/>
          <w:sz w:val="24"/>
          <w:szCs w:val="24"/>
        </w:rPr>
        <w:t>5、在系统中直接填写报表，系统可以自动核对。</w:t>
      </w:r>
    </w:p>
    <w:p>
      <w:pPr>
        <w:spacing w:line="360" w:lineRule="auto"/>
        <w:ind w:firstLine="400" w:firstLineChars="200"/>
        <w:rPr>
          <w:rFonts w:ascii="仿宋_GB2312" w:hAnsi="Tahoma" w:eastAsia="仿宋_GB2312" w:cs="Tahoma"/>
          <w:color w:val="000000"/>
          <w:kern w:val="0"/>
          <w:sz w:val="24"/>
          <w:szCs w:val="24"/>
        </w:rPr>
      </w:pPr>
      <w:r>
        <w:rPr>
          <w:rFonts w:hint="eastAsia" w:ascii="宋体" w:hAnsi="宋体"/>
          <w:kern w:val="0"/>
          <w:sz w:val="20"/>
          <w:szCs w:val="20"/>
        </w:rPr>
        <w:t>★</w:t>
      </w:r>
      <w:r>
        <w:rPr>
          <w:rFonts w:ascii="仿宋_GB2312" w:hAnsi="Tahoma" w:eastAsia="仿宋_GB2312" w:cs="Tahoma"/>
          <w:color w:val="000000"/>
          <w:kern w:val="0"/>
          <w:sz w:val="24"/>
          <w:szCs w:val="24"/>
        </w:rPr>
        <w:t>6</w:t>
      </w:r>
      <w:r>
        <w:rPr>
          <w:rFonts w:hint="eastAsia" w:ascii="仿宋_GB2312" w:hAnsi="Tahoma" w:eastAsia="仿宋_GB2312" w:cs="Tahoma"/>
          <w:color w:val="000000"/>
          <w:kern w:val="0"/>
          <w:sz w:val="24"/>
          <w:szCs w:val="24"/>
        </w:rPr>
        <w:t>支持招标（竞单），感受真实的市场氛围。</w:t>
      </w:r>
    </w:p>
    <w:p>
      <w:pPr>
        <w:spacing w:line="360" w:lineRule="auto"/>
        <w:ind w:firstLine="400" w:firstLineChars="200"/>
        <w:rPr>
          <w:rFonts w:ascii="仿宋_GB2312" w:hAnsi="Tahoma" w:eastAsia="仿宋_GB2312" w:cs="Tahoma"/>
          <w:color w:val="000000"/>
          <w:kern w:val="0"/>
          <w:sz w:val="24"/>
          <w:szCs w:val="24"/>
        </w:rPr>
      </w:pPr>
      <w:r>
        <w:rPr>
          <w:rFonts w:hint="eastAsia" w:ascii="宋体" w:hAnsi="宋体"/>
          <w:kern w:val="0"/>
          <w:sz w:val="20"/>
          <w:szCs w:val="20"/>
        </w:rPr>
        <w:t>★</w:t>
      </w:r>
      <w:r>
        <w:rPr>
          <w:rFonts w:hint="eastAsia" w:ascii="仿宋_GB2312" w:hAnsi="Tahoma" w:eastAsia="仿宋_GB2312" w:cs="Tahoma"/>
          <w:color w:val="000000"/>
          <w:kern w:val="0"/>
          <w:sz w:val="24"/>
          <w:szCs w:val="24"/>
        </w:rPr>
        <w:t>7、可以自行设定初始资金、贷款额度及利率、所得税率、库存折价率、违约扣款率、选单时间、间谍有效时间、市场老大等相关参数。</w:t>
      </w:r>
    </w:p>
    <w:p>
      <w:pPr>
        <w:spacing w:line="360" w:lineRule="auto"/>
        <w:ind w:firstLine="400" w:firstLineChars="200"/>
        <w:rPr>
          <w:rFonts w:ascii="仿宋_GB2312" w:hAnsi="Tahoma" w:eastAsia="仿宋_GB2312" w:cs="Tahoma"/>
          <w:color w:val="000000"/>
          <w:kern w:val="0"/>
          <w:sz w:val="24"/>
          <w:szCs w:val="24"/>
        </w:rPr>
      </w:pPr>
      <w:r>
        <w:rPr>
          <w:rFonts w:hint="eastAsia" w:ascii="宋体" w:hAnsi="宋体"/>
          <w:kern w:val="0"/>
          <w:sz w:val="20"/>
          <w:szCs w:val="20"/>
        </w:rPr>
        <w:t>★</w:t>
      </w:r>
      <w:r>
        <w:rPr>
          <w:rFonts w:ascii="仿宋_GB2312" w:hAnsi="Tahoma" w:eastAsia="仿宋_GB2312" w:cs="Tahoma"/>
          <w:color w:val="000000"/>
          <w:kern w:val="0"/>
          <w:sz w:val="24"/>
          <w:szCs w:val="24"/>
        </w:rPr>
        <w:t>8</w:t>
      </w:r>
      <w:r>
        <w:rPr>
          <w:rFonts w:hint="eastAsia" w:ascii="仿宋_GB2312" w:hAnsi="Tahoma" w:eastAsia="仿宋_GB2312" w:cs="Tahoma"/>
          <w:color w:val="000000"/>
          <w:kern w:val="0"/>
          <w:sz w:val="24"/>
          <w:szCs w:val="24"/>
        </w:rPr>
        <w:t>、能够记录和监控企业与外部环境的整个交易过程（包括与客户、原料供应商、设备供应商、市场和银行等的交易过程）。</w:t>
      </w:r>
    </w:p>
    <w:p>
      <w:pPr>
        <w:spacing w:line="360" w:lineRule="auto"/>
        <w:ind w:firstLine="400" w:firstLineChars="200"/>
        <w:rPr>
          <w:rFonts w:ascii="仿宋_GB2312" w:hAnsi="Tahoma" w:eastAsia="仿宋_GB2312" w:cs="Tahoma"/>
          <w:color w:val="000000"/>
          <w:kern w:val="0"/>
          <w:sz w:val="24"/>
          <w:szCs w:val="24"/>
        </w:rPr>
      </w:pPr>
      <w:r>
        <w:rPr>
          <w:rFonts w:hint="eastAsia" w:ascii="宋体" w:hAnsi="宋体"/>
          <w:kern w:val="0"/>
          <w:sz w:val="20"/>
          <w:szCs w:val="20"/>
        </w:rPr>
        <w:t>★</w:t>
      </w:r>
      <w:r>
        <w:rPr>
          <w:rFonts w:hint="eastAsia" w:ascii="仿宋_GB2312" w:hAnsi="Tahoma" w:eastAsia="仿宋_GB2312" w:cs="Tahoma"/>
          <w:color w:val="000000"/>
          <w:kern w:val="0"/>
          <w:sz w:val="24"/>
          <w:szCs w:val="24"/>
          <w:lang w:val="en-US" w:eastAsia="zh-CN"/>
        </w:rPr>
        <w:t>9</w:t>
      </w:r>
      <w:r>
        <w:rPr>
          <w:rFonts w:hint="eastAsia" w:ascii="仿宋_GB2312" w:hAnsi="Tahoma" w:eastAsia="仿宋_GB2312" w:cs="Tahoma"/>
          <w:color w:val="000000"/>
          <w:kern w:val="0"/>
          <w:sz w:val="24"/>
          <w:szCs w:val="24"/>
        </w:rPr>
        <w:t>、所有操作过的内容或决策数据均自动记录，所有数据可以随时实时查看，能完成公司至少6个年度24个季度的模拟经营。</w:t>
      </w:r>
    </w:p>
    <w:p>
      <w:pPr>
        <w:spacing w:line="360" w:lineRule="auto"/>
        <w:ind w:firstLine="480" w:firstLineChars="200"/>
        <w:rPr>
          <w:rFonts w:ascii="仿宋_GB2312" w:hAnsi="Tahoma" w:eastAsia="仿宋_GB2312" w:cs="Tahoma"/>
          <w:color w:val="000000"/>
          <w:kern w:val="0"/>
          <w:sz w:val="24"/>
          <w:szCs w:val="24"/>
        </w:rPr>
      </w:pPr>
      <w:r>
        <w:rPr>
          <w:rFonts w:hint="eastAsia" w:ascii="仿宋_GB2312" w:hAnsi="Tahoma" w:eastAsia="仿宋_GB2312" w:cs="Tahoma"/>
          <w:color w:val="000000"/>
          <w:kern w:val="0"/>
          <w:sz w:val="24"/>
          <w:szCs w:val="24"/>
        </w:rPr>
        <w:t xml:space="preserve"> </w:t>
      </w:r>
    </w:p>
    <w:p>
      <w:pPr>
        <w:spacing w:line="400" w:lineRule="exact"/>
        <w:ind w:right="480" w:firstLine="480" w:firstLineChars="200"/>
        <w:jc w:val="left"/>
        <w:rPr>
          <w:rFonts w:ascii="仿宋_GB2312" w:hAnsi="Tahoma" w:eastAsia="仿宋_GB2312" w:cs="Tahoma"/>
          <w:color w:val="000000"/>
          <w:kern w:val="0"/>
          <w:sz w:val="24"/>
          <w:szCs w:val="24"/>
        </w:rPr>
      </w:pPr>
      <w:r>
        <w:rPr>
          <w:rFonts w:hint="eastAsia" w:ascii="仿宋_GB2312" w:hAnsi="Tahoma" w:eastAsia="仿宋_GB2312" w:cs="Tahoma"/>
          <w:color w:val="000000"/>
          <w:kern w:val="0"/>
          <w:sz w:val="24"/>
          <w:szCs w:val="24"/>
        </w:rPr>
        <w:t>教师管理端：</w:t>
      </w:r>
    </w:p>
    <w:p>
      <w:pPr>
        <w:spacing w:line="360" w:lineRule="auto"/>
        <w:ind w:firstLine="480" w:firstLineChars="200"/>
        <w:rPr>
          <w:rFonts w:ascii="仿宋_GB2312" w:hAnsi="Tahoma" w:eastAsia="仿宋_GB2312" w:cs="Tahoma"/>
          <w:color w:val="000000"/>
          <w:kern w:val="0"/>
          <w:sz w:val="24"/>
          <w:szCs w:val="24"/>
        </w:rPr>
      </w:pPr>
      <w:r>
        <w:rPr>
          <w:rFonts w:hint="eastAsia" w:ascii="仿宋_GB2312" w:hAnsi="Tahoma" w:eastAsia="仿宋_GB2312" w:cs="Tahoma"/>
          <w:color w:val="000000"/>
          <w:kern w:val="0"/>
          <w:sz w:val="24"/>
          <w:szCs w:val="24"/>
        </w:rPr>
        <w:t>（一）教师端登陆后首先确定本教学班的班级人数，确定团队数量，并制定团队编号规则。然后对教学规则、教学订单进行选择并初始化。</w:t>
      </w:r>
    </w:p>
    <w:p>
      <w:pPr>
        <w:spacing w:line="360" w:lineRule="auto"/>
        <w:ind w:firstLine="480" w:firstLineChars="200"/>
        <w:rPr>
          <w:rFonts w:ascii="仿宋_GB2312" w:hAnsi="Tahoma" w:eastAsia="仿宋_GB2312" w:cs="Tahoma"/>
          <w:color w:val="000000"/>
          <w:kern w:val="0"/>
          <w:sz w:val="24"/>
          <w:szCs w:val="24"/>
        </w:rPr>
      </w:pPr>
      <w:r>
        <w:rPr>
          <w:rFonts w:hint="eastAsia" w:ascii="仿宋_GB2312" w:hAnsi="Tahoma" w:eastAsia="仿宋_GB2312" w:cs="Tahoma"/>
          <w:color w:val="000000"/>
          <w:kern w:val="0"/>
          <w:sz w:val="24"/>
          <w:szCs w:val="24"/>
        </w:rPr>
        <w:t>（二）进入教师端后，教师</w:t>
      </w:r>
      <w:r>
        <w:rPr>
          <w:rFonts w:ascii="仿宋_GB2312" w:hAnsi="Tahoma" w:eastAsia="仿宋_GB2312" w:cs="Tahoma"/>
          <w:color w:val="000000"/>
          <w:kern w:val="0"/>
          <w:sz w:val="24"/>
          <w:szCs w:val="24"/>
        </w:rPr>
        <w:t>主要</w:t>
      </w:r>
      <w:r>
        <w:rPr>
          <w:rFonts w:hint="eastAsia" w:ascii="仿宋_GB2312" w:hAnsi="Tahoma" w:eastAsia="仿宋_GB2312" w:cs="Tahoma"/>
          <w:color w:val="000000"/>
          <w:kern w:val="0"/>
          <w:sz w:val="24"/>
          <w:szCs w:val="24"/>
        </w:rPr>
        <w:t>功能包括:</w:t>
      </w:r>
    </w:p>
    <w:p>
      <w:pPr>
        <w:spacing w:line="360" w:lineRule="auto"/>
        <w:ind w:firstLine="480" w:firstLineChars="200"/>
        <w:rPr>
          <w:rFonts w:ascii="仿宋_GB2312" w:hAnsi="Tahoma" w:eastAsia="仿宋_GB2312" w:cs="Tahoma"/>
          <w:color w:val="000000"/>
          <w:kern w:val="0"/>
          <w:sz w:val="24"/>
          <w:szCs w:val="24"/>
        </w:rPr>
      </w:pPr>
      <w:r>
        <w:rPr>
          <w:rFonts w:hint="eastAsia" w:ascii="仿宋_GB2312" w:hAnsi="Tahoma" w:eastAsia="仿宋_GB2312" w:cs="Tahoma"/>
          <w:color w:val="000000"/>
          <w:kern w:val="0"/>
          <w:sz w:val="24"/>
          <w:szCs w:val="24"/>
        </w:rPr>
        <w:t>1、选单管理：组织参训学生选择订单，参训学生在全部投入广告后开始参与选单环节：各队按照广告多少排定的顺序，依次选单，但每次只能选一张订单。当所有队都选完一轮后，若再有订单，有二次选单机会各队进行第二轮选单。依此类推，直到所有订单被选完或所有队退出选单为止。</w:t>
      </w:r>
    </w:p>
    <w:p>
      <w:pPr>
        <w:spacing w:line="360" w:lineRule="auto"/>
        <w:ind w:firstLine="480" w:firstLineChars="200"/>
        <w:rPr>
          <w:rFonts w:ascii="仿宋_GB2312" w:hAnsi="Tahoma" w:eastAsia="仿宋_GB2312" w:cs="Tahoma"/>
          <w:color w:val="000000"/>
          <w:kern w:val="0"/>
          <w:sz w:val="24"/>
          <w:szCs w:val="24"/>
        </w:rPr>
      </w:pPr>
      <w:r>
        <w:rPr>
          <w:rFonts w:hint="eastAsia" w:ascii="仿宋_GB2312" w:hAnsi="Tahoma" w:eastAsia="仿宋_GB2312" w:cs="Tahoma"/>
          <w:color w:val="000000"/>
          <w:kern w:val="0"/>
          <w:sz w:val="24"/>
          <w:szCs w:val="24"/>
        </w:rPr>
        <w:t>2、竞单管理：对竞单的年份及数量进行管理。</w:t>
      </w:r>
    </w:p>
    <w:p>
      <w:pPr>
        <w:spacing w:line="360" w:lineRule="auto"/>
        <w:ind w:firstLine="480" w:firstLineChars="200"/>
        <w:rPr>
          <w:rFonts w:ascii="仿宋_GB2312" w:hAnsi="Tahoma" w:eastAsia="仿宋_GB2312" w:cs="Tahoma"/>
          <w:color w:val="000000"/>
          <w:kern w:val="0"/>
          <w:sz w:val="24"/>
          <w:szCs w:val="24"/>
        </w:rPr>
      </w:pPr>
      <w:r>
        <w:rPr>
          <w:rFonts w:hint="eastAsia" w:ascii="仿宋_GB2312" w:hAnsi="Tahoma" w:eastAsia="仿宋_GB2312" w:cs="Tahoma"/>
          <w:color w:val="000000"/>
          <w:kern w:val="0"/>
          <w:sz w:val="24"/>
          <w:szCs w:val="24"/>
        </w:rPr>
        <w:t>3、组间交易：教师对不同参训组之间的交易进行记录并完成交易。</w:t>
      </w:r>
    </w:p>
    <w:p>
      <w:pPr>
        <w:spacing w:line="360" w:lineRule="auto"/>
        <w:ind w:firstLine="480" w:firstLineChars="200"/>
        <w:rPr>
          <w:rFonts w:ascii="仿宋_GB2312" w:hAnsi="Tahoma" w:eastAsia="仿宋_GB2312" w:cs="Tahoma"/>
          <w:color w:val="000000"/>
          <w:kern w:val="0"/>
          <w:sz w:val="24"/>
          <w:szCs w:val="24"/>
        </w:rPr>
      </w:pPr>
      <w:r>
        <w:rPr>
          <w:rFonts w:hint="eastAsia" w:ascii="仿宋_GB2312" w:hAnsi="Tahoma" w:eastAsia="仿宋_GB2312" w:cs="Tahoma"/>
          <w:color w:val="000000"/>
          <w:kern w:val="0"/>
          <w:sz w:val="24"/>
          <w:szCs w:val="24"/>
        </w:rPr>
        <w:t>3、排行榜单：可以选择每年的运行结果进行排序并公布结果。</w:t>
      </w:r>
    </w:p>
    <w:p>
      <w:pPr>
        <w:spacing w:line="360" w:lineRule="auto"/>
        <w:ind w:firstLine="480" w:firstLineChars="200"/>
        <w:rPr>
          <w:rFonts w:ascii="仿宋_GB2312" w:hAnsi="Tahoma" w:eastAsia="仿宋_GB2312" w:cs="Tahoma"/>
          <w:color w:val="000000"/>
          <w:kern w:val="0"/>
          <w:sz w:val="24"/>
          <w:szCs w:val="24"/>
        </w:rPr>
      </w:pPr>
      <w:r>
        <w:rPr>
          <w:rFonts w:hint="eastAsia" w:ascii="仿宋_GB2312" w:hAnsi="Tahoma" w:eastAsia="仿宋_GB2312" w:cs="Tahoma"/>
          <w:color w:val="000000"/>
          <w:kern w:val="0"/>
          <w:sz w:val="24"/>
          <w:szCs w:val="24"/>
        </w:rPr>
        <w:t>4、公共信息：可以查询所有训练队伍的报表并公布。</w:t>
      </w:r>
    </w:p>
    <w:p>
      <w:pPr>
        <w:spacing w:line="360" w:lineRule="auto"/>
        <w:ind w:firstLine="480" w:firstLineChars="200"/>
        <w:rPr>
          <w:rFonts w:ascii="仿宋_GB2312" w:hAnsi="Tahoma" w:eastAsia="仿宋_GB2312" w:cs="Tahoma"/>
          <w:color w:val="000000"/>
          <w:kern w:val="0"/>
          <w:sz w:val="24"/>
          <w:szCs w:val="24"/>
        </w:rPr>
      </w:pPr>
      <w:r>
        <w:rPr>
          <w:rFonts w:hint="eastAsia" w:ascii="仿宋_GB2312" w:hAnsi="Tahoma" w:eastAsia="仿宋_GB2312" w:cs="Tahoma"/>
          <w:color w:val="000000"/>
          <w:kern w:val="0"/>
          <w:sz w:val="24"/>
          <w:szCs w:val="24"/>
        </w:rPr>
        <w:t>5、订单详情：可以查询所有参训队伍每年所争取的订单情况。</w:t>
      </w:r>
    </w:p>
    <w:p>
      <w:pPr>
        <w:spacing w:line="360" w:lineRule="auto"/>
        <w:ind w:firstLine="480" w:firstLineChars="200"/>
        <w:rPr>
          <w:rFonts w:ascii="仿宋_GB2312" w:hAnsi="Tahoma" w:eastAsia="仿宋_GB2312" w:cs="Tahoma"/>
          <w:color w:val="000000"/>
          <w:kern w:val="0"/>
          <w:sz w:val="24"/>
          <w:szCs w:val="24"/>
        </w:rPr>
      </w:pPr>
      <w:r>
        <w:rPr>
          <w:rFonts w:hint="eastAsia" w:ascii="仿宋_GB2312" w:hAnsi="Tahoma" w:eastAsia="仿宋_GB2312" w:cs="Tahoma"/>
          <w:color w:val="000000"/>
          <w:kern w:val="0"/>
          <w:sz w:val="24"/>
          <w:szCs w:val="24"/>
        </w:rPr>
        <w:t>6、系统参数：可以查询系统设置的教学规则及相应参数（可对模拟系统中的参数与竞争模型进行调整修改，包括公司的启动注册资金、税率、各项费用、运营规则、市场规模、背景资料、厂房、设备、订单、BOM表清单等）。</w:t>
      </w:r>
    </w:p>
    <w:p>
      <w:pPr>
        <w:spacing w:line="360" w:lineRule="auto"/>
        <w:ind w:firstLine="480" w:firstLineChars="200"/>
        <w:rPr>
          <w:rFonts w:ascii="仿宋_GB2312" w:hAnsi="Tahoma" w:eastAsia="仿宋_GB2312" w:cs="Tahoma"/>
          <w:color w:val="000000"/>
          <w:kern w:val="0"/>
          <w:sz w:val="24"/>
          <w:szCs w:val="24"/>
        </w:rPr>
      </w:pPr>
      <w:r>
        <w:rPr>
          <w:rFonts w:hint="eastAsia" w:ascii="仿宋_GB2312" w:hAnsi="Tahoma" w:eastAsia="仿宋_GB2312" w:cs="Tahoma"/>
          <w:color w:val="000000"/>
          <w:kern w:val="0"/>
          <w:sz w:val="24"/>
          <w:szCs w:val="24"/>
        </w:rPr>
        <w:t>7、教学班备份：教师可以对本教学班的数据进行随时备份。</w:t>
      </w:r>
    </w:p>
    <w:p>
      <w:pPr>
        <w:spacing w:line="360" w:lineRule="auto"/>
        <w:ind w:firstLine="480" w:firstLineChars="200"/>
        <w:rPr>
          <w:rFonts w:ascii="仿宋_GB2312" w:hAnsi="Tahoma" w:eastAsia="仿宋_GB2312" w:cs="Tahoma"/>
          <w:color w:val="000000"/>
          <w:kern w:val="0"/>
          <w:sz w:val="24"/>
          <w:szCs w:val="24"/>
        </w:rPr>
      </w:pPr>
      <w:r>
        <w:rPr>
          <w:rFonts w:hint="eastAsia" w:ascii="仿宋_GB2312" w:hAnsi="Tahoma" w:eastAsia="仿宋_GB2312" w:cs="Tahoma"/>
          <w:color w:val="000000"/>
          <w:kern w:val="0"/>
          <w:sz w:val="24"/>
          <w:szCs w:val="24"/>
        </w:rPr>
        <w:t>8、查询每组经营数据： 教师可以选择用户信息并查询各组各项经营信息，包括各公司运行时间，以及公司资料、库存采购信息、研发认证信息、财务信息、厂房信息、生产信息。</w:t>
      </w:r>
    </w:p>
    <w:p>
      <w:pPr>
        <w:spacing w:line="360" w:lineRule="auto"/>
        <w:ind w:firstLine="480" w:firstLineChars="200"/>
        <w:rPr>
          <w:rFonts w:ascii="仿宋_GB2312" w:hAnsi="Tahoma" w:eastAsia="仿宋_GB2312" w:cs="Tahoma"/>
          <w:color w:val="000000"/>
          <w:kern w:val="0"/>
          <w:sz w:val="24"/>
          <w:szCs w:val="24"/>
        </w:rPr>
      </w:pPr>
      <w:r>
        <w:rPr>
          <w:rFonts w:hint="eastAsia" w:ascii="仿宋_GB2312" w:hAnsi="Tahoma" w:eastAsia="仿宋_GB2312" w:cs="Tahoma"/>
          <w:color w:val="000000"/>
          <w:kern w:val="0"/>
          <w:sz w:val="24"/>
          <w:szCs w:val="24"/>
        </w:rPr>
        <w:t>9、年度和季度初始还原。</w:t>
      </w:r>
    </w:p>
    <w:p>
      <w:pPr>
        <w:spacing w:line="360" w:lineRule="auto"/>
        <w:ind w:firstLine="480" w:firstLineChars="200"/>
        <w:rPr>
          <w:rFonts w:ascii="仿宋_GB2312" w:hAnsi="Tahoma" w:eastAsia="仿宋_GB2312" w:cs="Tahoma"/>
          <w:color w:val="000000"/>
          <w:kern w:val="0"/>
          <w:sz w:val="24"/>
          <w:szCs w:val="24"/>
        </w:rPr>
      </w:pPr>
      <w:r>
        <w:rPr>
          <w:rFonts w:hint="eastAsia" w:ascii="仿宋_GB2312" w:hAnsi="Tahoma" w:eastAsia="仿宋_GB2312" w:cs="Tahoma"/>
          <w:color w:val="000000"/>
          <w:kern w:val="0"/>
          <w:sz w:val="24"/>
          <w:szCs w:val="24"/>
        </w:rPr>
        <w:t>学生端管理：</w:t>
      </w:r>
    </w:p>
    <w:p>
      <w:pPr>
        <w:spacing w:line="360" w:lineRule="auto"/>
        <w:ind w:firstLine="360" w:firstLineChars="150"/>
        <w:rPr>
          <w:rFonts w:ascii="仿宋_GB2312" w:hAnsi="Tahoma" w:eastAsia="仿宋_GB2312" w:cs="Tahoma"/>
          <w:color w:val="000000"/>
          <w:kern w:val="0"/>
          <w:sz w:val="24"/>
          <w:szCs w:val="24"/>
        </w:rPr>
      </w:pPr>
      <w:r>
        <w:rPr>
          <w:rFonts w:hint="eastAsia" w:ascii="仿宋_GB2312" w:hAnsi="Tahoma" w:eastAsia="仿宋_GB2312" w:cs="Tahoma"/>
          <w:color w:val="000000"/>
          <w:kern w:val="0"/>
          <w:sz w:val="24"/>
          <w:szCs w:val="24"/>
        </w:rPr>
        <w:t>（一）此板块主要为学生的操作板块，包含操作流程中的30余个操作功能。主要操作功能如下：</w:t>
      </w:r>
    </w:p>
    <w:p>
      <w:pPr>
        <w:spacing w:line="360" w:lineRule="auto"/>
        <w:ind w:firstLine="480" w:firstLineChars="200"/>
        <w:rPr>
          <w:rFonts w:ascii="仿宋_GB2312" w:hAnsi="Tahoma" w:eastAsia="仿宋_GB2312" w:cs="Tahoma"/>
          <w:color w:val="000000"/>
          <w:kern w:val="0"/>
          <w:sz w:val="24"/>
          <w:szCs w:val="24"/>
        </w:rPr>
      </w:pPr>
      <w:r>
        <w:rPr>
          <w:rFonts w:hint="eastAsia" w:ascii="仿宋_GB2312" w:hAnsi="Tahoma" w:eastAsia="仿宋_GB2312" w:cs="Tahoma"/>
          <w:color w:val="000000"/>
          <w:kern w:val="0"/>
          <w:sz w:val="24"/>
          <w:szCs w:val="24"/>
        </w:rPr>
        <w:t>1）年初操作：投放广告（2）申请长期贷款</w:t>
      </w:r>
    </w:p>
    <w:p>
      <w:pPr>
        <w:spacing w:line="360" w:lineRule="auto"/>
        <w:ind w:firstLine="480" w:firstLineChars="200"/>
        <w:rPr>
          <w:rFonts w:ascii="仿宋_GB2312" w:hAnsi="Tahoma" w:eastAsia="仿宋_GB2312" w:cs="Tahoma"/>
          <w:color w:val="000000"/>
          <w:kern w:val="0"/>
          <w:sz w:val="24"/>
          <w:szCs w:val="24"/>
        </w:rPr>
      </w:pPr>
      <w:r>
        <w:rPr>
          <w:rFonts w:hint="eastAsia" w:ascii="仿宋_GB2312" w:hAnsi="Tahoma" w:eastAsia="仿宋_GB2312" w:cs="Tahoma"/>
          <w:color w:val="000000"/>
          <w:kern w:val="0"/>
          <w:sz w:val="24"/>
          <w:szCs w:val="24"/>
        </w:rPr>
        <w:t>2） 四季操作（1） 四季任务启动与结束（2）当季开始（3）当季结束（4）申请短贷（5）更新原料库（6）订购原料（7）购租厂房（8）新建生产线（9）在建生产线（10）生产线转产、继续转产（11）出售生产线（12）开始生产（13）应收款更新（14）按订单交货（15）产品研发（16）厂房处理（17）市场开拓（18）ISO投资（19）当年结束（20）厂房贴现（21）紧急采购</w:t>
      </w:r>
      <w:r>
        <w:rPr>
          <w:rFonts w:hint="eastAsia" w:ascii="仿宋_GB2312" w:hAnsi="Tahoma" w:eastAsia="仿宋_GB2312" w:cs="Tahoma"/>
          <w:color w:val="000000"/>
          <w:kern w:val="0"/>
          <w:sz w:val="24"/>
          <w:szCs w:val="24"/>
        </w:rPr>
        <w:tab/>
      </w:r>
      <w:r>
        <w:rPr>
          <w:rFonts w:hint="eastAsia" w:ascii="仿宋_GB2312" w:hAnsi="Tahoma" w:eastAsia="仿宋_GB2312" w:cs="Tahoma"/>
          <w:color w:val="000000"/>
          <w:kern w:val="0"/>
          <w:sz w:val="24"/>
          <w:szCs w:val="24"/>
        </w:rPr>
        <w:t>（22）出售库存（23）贴现</w:t>
      </w:r>
      <w:r>
        <w:rPr>
          <w:rFonts w:ascii="仿宋_GB2312" w:hAnsi="Tahoma" w:eastAsia="仿宋_GB2312" w:cs="Tahoma"/>
          <w:color w:val="000000"/>
          <w:kern w:val="0"/>
          <w:sz w:val="24"/>
          <w:szCs w:val="24"/>
        </w:rPr>
        <w:t>：</w:t>
      </w:r>
      <w:r>
        <w:rPr>
          <w:rFonts w:hint="eastAsia" w:ascii="仿宋_GB2312" w:hAnsi="Tahoma" w:eastAsia="仿宋_GB2312" w:cs="Tahoma"/>
          <w:color w:val="000000"/>
          <w:kern w:val="0"/>
          <w:sz w:val="24"/>
          <w:szCs w:val="24"/>
        </w:rPr>
        <w:t>1、2季与3、4季分开贴现；1、2（3、4季）季应收款加总贴现；可在任意时间操作且次数不限；填入贴现额应小于等于应收款；贴现额乘以对应贴现率，求得贴现费用（向上取整），贴现费用记入财务费用，其他部分增加现金。（24）间谍（商业情报收集）任意时间可操作（竞单时不允许操作）；可查看任意一家企业信息，花费1W（可变参数）可查看一家企业情况，包括资质、厂房、生产线、订单等（不包括报表）；以EXCEL表格形式提供；可以免费获得自己的相关信息。（25）订单信息（26）查看市场预测</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27314"/>
    <w:multiLevelType w:val="multilevel"/>
    <w:tmpl w:val="09827314"/>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7309A6"/>
    <w:multiLevelType w:val="multilevel"/>
    <w:tmpl w:val="367309A6"/>
    <w:lvl w:ilvl="0" w:tentative="0">
      <w:start w:val="1"/>
      <w:numFmt w:val="japaneseCounting"/>
      <w:lvlText w:val="（%1）"/>
      <w:lvlJc w:val="left"/>
      <w:pPr>
        <w:tabs>
          <w:tab w:val="left" w:pos="720"/>
        </w:tabs>
        <w:ind w:left="720" w:hanging="720"/>
      </w:pPr>
    </w:lvl>
    <w:lvl w:ilvl="1" w:tentative="0">
      <w:start w:val="1"/>
      <w:numFmt w:val="decimal"/>
      <w:lvlText w:val="%2."/>
      <w:lvlJc w:val="left"/>
      <w:pPr>
        <w:tabs>
          <w:tab w:val="left" w:pos="840"/>
        </w:tabs>
        <w:ind w:left="840" w:hanging="420"/>
      </w:pPr>
    </w:lvl>
    <w:lvl w:ilvl="2" w:tentative="0">
      <w:start w:val="3"/>
      <w:numFmt w:val="japaneseCounting"/>
      <w:lvlText w:val="%3、"/>
      <w:lvlJc w:val="left"/>
      <w:pPr>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FAB"/>
    <w:rsid w:val="0000325A"/>
    <w:rsid w:val="0000720F"/>
    <w:rsid w:val="000203E0"/>
    <w:rsid w:val="00050D02"/>
    <w:rsid w:val="000554BD"/>
    <w:rsid w:val="00061173"/>
    <w:rsid w:val="000A2FAB"/>
    <w:rsid w:val="000B3F5D"/>
    <w:rsid w:val="000F6CD9"/>
    <w:rsid w:val="0011135A"/>
    <w:rsid w:val="0013584B"/>
    <w:rsid w:val="00147A6C"/>
    <w:rsid w:val="0015090F"/>
    <w:rsid w:val="00162B69"/>
    <w:rsid w:val="00184E73"/>
    <w:rsid w:val="001B71FD"/>
    <w:rsid w:val="001D1109"/>
    <w:rsid w:val="00216E93"/>
    <w:rsid w:val="002507EF"/>
    <w:rsid w:val="0026426E"/>
    <w:rsid w:val="00266843"/>
    <w:rsid w:val="00272063"/>
    <w:rsid w:val="002766BF"/>
    <w:rsid w:val="002834D5"/>
    <w:rsid w:val="00290520"/>
    <w:rsid w:val="00295ABC"/>
    <w:rsid w:val="002A4286"/>
    <w:rsid w:val="002A57BD"/>
    <w:rsid w:val="002E6070"/>
    <w:rsid w:val="003356DE"/>
    <w:rsid w:val="00354CA5"/>
    <w:rsid w:val="00360E3E"/>
    <w:rsid w:val="0037482E"/>
    <w:rsid w:val="00375850"/>
    <w:rsid w:val="00385ED3"/>
    <w:rsid w:val="003A53CF"/>
    <w:rsid w:val="003C7C39"/>
    <w:rsid w:val="003E42AA"/>
    <w:rsid w:val="00407CE1"/>
    <w:rsid w:val="00420BEE"/>
    <w:rsid w:val="00443F7E"/>
    <w:rsid w:val="0049782A"/>
    <w:rsid w:val="004A2672"/>
    <w:rsid w:val="004B21C6"/>
    <w:rsid w:val="004B6281"/>
    <w:rsid w:val="004C1E58"/>
    <w:rsid w:val="004C5E03"/>
    <w:rsid w:val="004E1690"/>
    <w:rsid w:val="004E3119"/>
    <w:rsid w:val="004E55F8"/>
    <w:rsid w:val="004E76FF"/>
    <w:rsid w:val="005660F6"/>
    <w:rsid w:val="005823E8"/>
    <w:rsid w:val="005A2229"/>
    <w:rsid w:val="005D22BE"/>
    <w:rsid w:val="005E2CD0"/>
    <w:rsid w:val="005F2A8B"/>
    <w:rsid w:val="005F31EB"/>
    <w:rsid w:val="006055D3"/>
    <w:rsid w:val="00655B2E"/>
    <w:rsid w:val="00664AF0"/>
    <w:rsid w:val="0067193F"/>
    <w:rsid w:val="006834C6"/>
    <w:rsid w:val="00687849"/>
    <w:rsid w:val="006A6BCF"/>
    <w:rsid w:val="006B3BE1"/>
    <w:rsid w:val="006C42CD"/>
    <w:rsid w:val="0070243D"/>
    <w:rsid w:val="00731318"/>
    <w:rsid w:val="00744899"/>
    <w:rsid w:val="00774CE9"/>
    <w:rsid w:val="007761C7"/>
    <w:rsid w:val="007D4D19"/>
    <w:rsid w:val="007F7B75"/>
    <w:rsid w:val="008017BB"/>
    <w:rsid w:val="00813304"/>
    <w:rsid w:val="00840233"/>
    <w:rsid w:val="008555CF"/>
    <w:rsid w:val="00862DAC"/>
    <w:rsid w:val="00881AA4"/>
    <w:rsid w:val="008823F7"/>
    <w:rsid w:val="008A7B28"/>
    <w:rsid w:val="008E7045"/>
    <w:rsid w:val="009411B8"/>
    <w:rsid w:val="00943B21"/>
    <w:rsid w:val="00973816"/>
    <w:rsid w:val="00974D0F"/>
    <w:rsid w:val="00975FA1"/>
    <w:rsid w:val="0098134D"/>
    <w:rsid w:val="00982640"/>
    <w:rsid w:val="009879CC"/>
    <w:rsid w:val="009A3420"/>
    <w:rsid w:val="009E47EC"/>
    <w:rsid w:val="00A017B9"/>
    <w:rsid w:val="00A36B04"/>
    <w:rsid w:val="00A42F42"/>
    <w:rsid w:val="00A6036D"/>
    <w:rsid w:val="00A7755D"/>
    <w:rsid w:val="00A807FE"/>
    <w:rsid w:val="00A928C8"/>
    <w:rsid w:val="00AB13DC"/>
    <w:rsid w:val="00B0557A"/>
    <w:rsid w:val="00B15392"/>
    <w:rsid w:val="00B233E7"/>
    <w:rsid w:val="00B338B6"/>
    <w:rsid w:val="00B344E3"/>
    <w:rsid w:val="00B344E4"/>
    <w:rsid w:val="00B37D27"/>
    <w:rsid w:val="00B420C2"/>
    <w:rsid w:val="00B60A95"/>
    <w:rsid w:val="00B75AC1"/>
    <w:rsid w:val="00B83F29"/>
    <w:rsid w:val="00B94208"/>
    <w:rsid w:val="00BE395B"/>
    <w:rsid w:val="00BF2B16"/>
    <w:rsid w:val="00C06E6A"/>
    <w:rsid w:val="00C328A2"/>
    <w:rsid w:val="00C57C57"/>
    <w:rsid w:val="00C65C55"/>
    <w:rsid w:val="00CB1A2E"/>
    <w:rsid w:val="00CB1CBE"/>
    <w:rsid w:val="00CC4EF1"/>
    <w:rsid w:val="00CE09A2"/>
    <w:rsid w:val="00CE15CA"/>
    <w:rsid w:val="00D3265D"/>
    <w:rsid w:val="00D33FD5"/>
    <w:rsid w:val="00D61402"/>
    <w:rsid w:val="00D627CF"/>
    <w:rsid w:val="00D845BA"/>
    <w:rsid w:val="00DA6BD6"/>
    <w:rsid w:val="00DD3495"/>
    <w:rsid w:val="00E02E8B"/>
    <w:rsid w:val="00E06433"/>
    <w:rsid w:val="00E26802"/>
    <w:rsid w:val="00E33A23"/>
    <w:rsid w:val="00E564D8"/>
    <w:rsid w:val="00E64898"/>
    <w:rsid w:val="00E65DB3"/>
    <w:rsid w:val="00E73A44"/>
    <w:rsid w:val="00EB5D1F"/>
    <w:rsid w:val="00F308D2"/>
    <w:rsid w:val="00F5187A"/>
    <w:rsid w:val="00F608C7"/>
    <w:rsid w:val="00F608DD"/>
    <w:rsid w:val="00F76AF7"/>
    <w:rsid w:val="00F82D33"/>
    <w:rsid w:val="00F903CA"/>
    <w:rsid w:val="00FB0D5F"/>
    <w:rsid w:val="00FD1331"/>
    <w:rsid w:val="00FF3292"/>
    <w:rsid w:val="00FF7585"/>
    <w:rsid w:val="566948A7"/>
    <w:rsid w:val="62270E9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5"/>
    <w:link w:val="3"/>
    <w:uiPriority w:val="99"/>
    <w:rPr>
      <w:rFonts w:ascii="Calibri" w:hAnsi="Calibri" w:eastAsia="宋体" w:cs="Times New Roman"/>
      <w:sz w:val="18"/>
      <w:szCs w:val="18"/>
    </w:rPr>
  </w:style>
  <w:style w:type="character" w:customStyle="1" w:styleId="8">
    <w:name w:val="页脚 Char"/>
    <w:basedOn w:val="5"/>
    <w:link w:val="2"/>
    <w:uiPriority w:val="99"/>
    <w:rPr>
      <w:rFonts w:ascii="Calibri" w:hAnsi="Calibri" w:eastAsia="宋体" w:cs="Times New Roman"/>
      <w:sz w:val="18"/>
      <w:szCs w:val="18"/>
    </w:rPr>
  </w:style>
  <w:style w:type="character" w:customStyle="1" w:styleId="9">
    <w:name w:val="Intense Reference"/>
    <w:basedOn w:val="5"/>
    <w:qFormat/>
    <w:uiPriority w:val="32"/>
    <w:rPr>
      <w:b/>
      <w:bCs/>
      <w:smallCaps/>
      <w:color w:val="C0504D" w:themeColor="accent2"/>
      <w:spacing w:val="5"/>
      <w:u w:val="single"/>
      <w14:textFill>
        <w14:solidFill>
          <w14:schemeClr w14:val="accent2"/>
        </w14:solidFill>
      </w14:textFil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332</Words>
  <Characters>1893</Characters>
  <Lines>15</Lines>
  <Paragraphs>4</Paragraphs>
  <TotalTime>1</TotalTime>
  <ScaleCrop>false</ScaleCrop>
  <LinksUpToDate>false</LinksUpToDate>
  <CharactersWithSpaces>2221</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2018-03-21T07:30:00Z</dcterms:created>
  <dc:creator>LEN</dc:creator>
  <cp:lastModifiedBy>不愧于心</cp:lastModifiedBy>
  <dcterms:modified xsi:type="dcterms:W3CDTF">2019-04-23T06:54:05Z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